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BA7" w:rsidRDefault="003B5424" w:rsidP="00AA6BA7">
      <w:pPr>
        <w:pStyle w:val="10"/>
        <w:keepNext/>
        <w:keepLines/>
        <w:shd w:val="clear" w:color="auto" w:fill="auto"/>
        <w:ind w:left="0" w:firstLine="360"/>
        <w:jc w:val="center"/>
      </w:pPr>
      <w:bookmarkStart w:id="0" w:name="bookmark0"/>
      <w:bookmarkStart w:id="1" w:name="bookmark1"/>
      <w:r>
        <w:t>ТЕХНИЧЕСКОЕ ЗАДАНИЕ</w:t>
      </w:r>
    </w:p>
    <w:p w:rsidR="0008163E" w:rsidRDefault="003B5424" w:rsidP="00AA6BA7">
      <w:pPr>
        <w:pStyle w:val="10"/>
        <w:keepNext/>
        <w:keepLines/>
        <w:shd w:val="clear" w:color="auto" w:fill="auto"/>
        <w:ind w:left="0" w:firstLine="360"/>
        <w:jc w:val="center"/>
      </w:pPr>
      <w:r>
        <w:t xml:space="preserve">на открытый запрос предложений по выбору организации для оказания услуг по добровольному медицинскому страхованию (ДМС) для </w:t>
      </w:r>
      <w:bookmarkEnd w:id="0"/>
      <w:bookmarkEnd w:id="1"/>
      <w:r w:rsidR="00B13610">
        <w:t>сотрудников</w:t>
      </w:r>
      <w:r w:rsidR="00AA6BA7">
        <w:t xml:space="preserve"> ООО «ЮКОЛА-нефть»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58"/>
        <w:gridCol w:w="1906"/>
        <w:gridCol w:w="7666"/>
      </w:tblGrid>
      <w:tr w:rsidR="0008163E">
        <w:trPr>
          <w:trHeight w:val="566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63E" w:rsidRDefault="003B5424">
            <w:pPr>
              <w:pStyle w:val="a4"/>
              <w:shd w:val="clear" w:color="auto" w:fill="auto"/>
            </w:pPr>
            <w:r>
              <w:rPr>
                <w:b/>
                <w:bCs/>
                <w:i/>
                <w:iCs/>
              </w:rPr>
              <w:t>№№</w:t>
            </w:r>
          </w:p>
          <w:p w:rsidR="0008163E" w:rsidRDefault="003B5424">
            <w:pPr>
              <w:pStyle w:val="a4"/>
              <w:shd w:val="clear" w:color="auto" w:fill="auto"/>
            </w:pPr>
            <w:proofErr w:type="gramStart"/>
            <w:r>
              <w:rPr>
                <w:b/>
                <w:bCs/>
                <w:i/>
                <w:iCs/>
              </w:rPr>
              <w:t>п</w:t>
            </w:r>
            <w:proofErr w:type="gramEnd"/>
            <w:r>
              <w:rPr>
                <w:b/>
                <w:bCs/>
                <w:i/>
                <w:iCs/>
              </w:rPr>
              <w:t>/п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63E" w:rsidRDefault="003B5424">
            <w:pPr>
              <w:pStyle w:val="a4"/>
              <w:shd w:val="clear" w:color="auto" w:fill="auto"/>
            </w:pPr>
            <w:r>
              <w:rPr>
                <w:b/>
                <w:bCs/>
                <w:i/>
                <w:iCs/>
              </w:rPr>
              <w:t>Наименование пункта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163E" w:rsidRDefault="003B5424">
            <w:pPr>
              <w:pStyle w:val="a4"/>
              <w:shd w:val="clear" w:color="auto" w:fill="auto"/>
            </w:pPr>
            <w:r>
              <w:rPr>
                <w:b/>
                <w:bCs/>
                <w:i/>
                <w:iCs/>
              </w:rPr>
              <w:t>Текст пояснений</w:t>
            </w:r>
          </w:p>
        </w:tc>
      </w:tr>
      <w:tr w:rsidR="0008163E">
        <w:trPr>
          <w:trHeight w:val="1387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3E" w:rsidRDefault="003B5424">
            <w:pPr>
              <w:pStyle w:val="a4"/>
              <w:shd w:val="clear" w:color="auto" w:fill="auto"/>
              <w:ind w:firstLine="360"/>
            </w:pPr>
            <w:r>
              <w:t>1.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3E" w:rsidRDefault="003B5424">
            <w:pPr>
              <w:pStyle w:val="a4"/>
              <w:shd w:val="clear" w:color="auto" w:fill="auto"/>
            </w:pPr>
            <w:r>
              <w:t>Наименование</w:t>
            </w:r>
          </w:p>
          <w:p w:rsidR="0008163E" w:rsidRDefault="003B5424">
            <w:pPr>
              <w:pStyle w:val="a4"/>
              <w:shd w:val="clear" w:color="auto" w:fill="auto"/>
            </w:pPr>
            <w:r>
              <w:t>Заказчика, контактная информация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3610" w:rsidRDefault="00AA6BA7">
            <w:pPr>
              <w:pStyle w:val="a4"/>
              <w:shd w:val="clear" w:color="auto" w:fill="auto"/>
            </w:pPr>
            <w:r>
              <w:t>Общество с ограниченной ответственностью  «ЮКОЛА-нефть</w:t>
            </w:r>
            <w:r w:rsidR="00B13610">
              <w:t>» (ООО «ЮКОЛА-нефть»)</w:t>
            </w:r>
          </w:p>
          <w:p w:rsidR="00B13610" w:rsidRDefault="003B5424">
            <w:pPr>
              <w:pStyle w:val="a4"/>
              <w:shd w:val="clear" w:color="auto" w:fill="auto"/>
            </w:pPr>
            <w:r>
              <w:t xml:space="preserve">Место нахождения: </w:t>
            </w:r>
            <w:r w:rsidR="00B13610">
              <w:t xml:space="preserve">410038 г. Саратов, 5-й </w:t>
            </w:r>
            <w:proofErr w:type="spellStart"/>
            <w:r w:rsidR="00B13610">
              <w:t>Соколовогорский</w:t>
            </w:r>
            <w:proofErr w:type="spellEnd"/>
            <w:r w:rsidR="00B13610">
              <w:t xml:space="preserve"> проезд, </w:t>
            </w:r>
            <w:proofErr w:type="spellStart"/>
            <w:r w:rsidR="00B13610">
              <w:t>зд</w:t>
            </w:r>
            <w:proofErr w:type="spellEnd"/>
            <w:r w:rsidR="00B13610">
              <w:t>. 9А, стр. 1</w:t>
            </w:r>
            <w:r>
              <w:t xml:space="preserve"> Почтовый адрес: </w:t>
            </w:r>
            <w:r w:rsidR="00B13610">
              <w:t xml:space="preserve">410038 г. Саратов, 5-й </w:t>
            </w:r>
            <w:proofErr w:type="spellStart"/>
            <w:r w:rsidR="00B13610">
              <w:t>Соколовогорский</w:t>
            </w:r>
            <w:proofErr w:type="spellEnd"/>
            <w:r w:rsidR="00B13610">
              <w:t xml:space="preserve"> проезд, </w:t>
            </w:r>
            <w:proofErr w:type="spellStart"/>
            <w:r w:rsidR="00B13610">
              <w:t>зд</w:t>
            </w:r>
            <w:proofErr w:type="spellEnd"/>
            <w:r w:rsidR="00B13610">
              <w:t>. 9А, стр. 1</w:t>
            </w:r>
          </w:p>
          <w:p w:rsidR="00B13610" w:rsidRPr="00B13610" w:rsidRDefault="00B13610">
            <w:pPr>
              <w:pStyle w:val="a4"/>
              <w:shd w:val="clear" w:color="auto" w:fill="auto"/>
              <w:rPr>
                <w:lang w:eastAsia="en-US" w:bidi="en-US"/>
              </w:rPr>
            </w:pPr>
            <w:r>
              <w:t xml:space="preserve">Адрес электронной почты: </w:t>
            </w:r>
            <w:r w:rsidR="00FC194F" w:rsidRPr="00FC194F">
              <w:rPr>
                <w:lang w:val="en-US"/>
              </w:rPr>
              <w:t>tender</w:t>
            </w:r>
            <w:r w:rsidR="00FC194F" w:rsidRPr="00FC194F">
              <w:t>@</w:t>
            </w:r>
            <w:proofErr w:type="spellStart"/>
            <w:r w:rsidR="00FC194F" w:rsidRPr="00FC194F">
              <w:rPr>
                <w:lang w:val="en-US"/>
              </w:rPr>
              <w:t>yukolaneft</w:t>
            </w:r>
            <w:proofErr w:type="spellEnd"/>
            <w:r w:rsidR="00FC194F" w:rsidRPr="00FC194F">
              <w:t>.</w:t>
            </w:r>
            <w:proofErr w:type="spellStart"/>
            <w:r w:rsidR="00FC194F" w:rsidRPr="00FC194F">
              <w:rPr>
                <w:lang w:val="en-US"/>
              </w:rPr>
              <w:t>ru</w:t>
            </w:r>
            <w:proofErr w:type="spellEnd"/>
          </w:p>
          <w:p w:rsidR="0008163E" w:rsidRDefault="00B13610">
            <w:pPr>
              <w:pStyle w:val="a4"/>
              <w:shd w:val="clear" w:color="auto" w:fill="auto"/>
            </w:pPr>
            <w:r>
              <w:t>Контактный теле</w:t>
            </w:r>
            <w:r w:rsidR="00F749AB">
              <w:t>фон: (8452) 4</w:t>
            </w:r>
            <w:r>
              <w:t>77-873, 477-876</w:t>
            </w:r>
          </w:p>
          <w:p w:rsidR="0008163E" w:rsidRDefault="00B13610" w:rsidP="00B13610">
            <w:pPr>
              <w:pStyle w:val="a4"/>
              <w:shd w:val="clear" w:color="auto" w:fill="auto"/>
            </w:pPr>
            <w:r>
              <w:t>Контактные</w:t>
            </w:r>
            <w:r w:rsidR="003B5424">
              <w:t xml:space="preserve"> л</w:t>
            </w:r>
            <w:r w:rsidR="00AA6BA7">
              <w:t>иц</w:t>
            </w:r>
            <w:r>
              <w:t>а</w:t>
            </w:r>
            <w:r w:rsidR="00AA6BA7">
              <w:t xml:space="preserve">: </w:t>
            </w:r>
            <w:r w:rsidR="00A3676F">
              <w:t xml:space="preserve">начальник отдела кадров </w:t>
            </w:r>
            <w:r w:rsidR="00AA6BA7">
              <w:t>Безрукова Ирина Геннадиевна</w:t>
            </w:r>
            <w:r>
              <w:t xml:space="preserve">, </w:t>
            </w:r>
            <w:r w:rsidR="00A3676F">
              <w:t xml:space="preserve"> секретарь тендерной комиссии </w:t>
            </w:r>
            <w:r>
              <w:t>Смяцкая Оксана Михайловна</w:t>
            </w:r>
          </w:p>
        </w:tc>
      </w:tr>
      <w:tr w:rsidR="0008163E">
        <w:trPr>
          <w:trHeight w:val="70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3E" w:rsidRDefault="003B5424">
            <w:pPr>
              <w:pStyle w:val="a4"/>
              <w:shd w:val="clear" w:color="auto" w:fill="auto"/>
              <w:ind w:firstLine="360"/>
            </w:pPr>
            <w:r>
              <w:t>2.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3E" w:rsidRDefault="003B5424">
            <w:pPr>
              <w:pStyle w:val="a4"/>
              <w:shd w:val="clear" w:color="auto" w:fill="auto"/>
            </w:pPr>
            <w:r>
              <w:t>Вид и предмет ОЗП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163E" w:rsidRDefault="003B5424" w:rsidP="00F534C4">
            <w:pPr>
              <w:pStyle w:val="a4"/>
              <w:shd w:val="clear" w:color="auto" w:fill="auto"/>
            </w:pPr>
            <w:r>
              <w:t>Открытый запрос предложений по отбору  организации для оказания услуг по добровольному медицинскому страхованию работников Заказчика.</w:t>
            </w:r>
          </w:p>
        </w:tc>
      </w:tr>
      <w:tr w:rsidR="0008163E">
        <w:trPr>
          <w:trHeight w:val="1622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3E" w:rsidRDefault="003B5424">
            <w:pPr>
              <w:pStyle w:val="a4"/>
              <w:shd w:val="clear" w:color="auto" w:fill="auto"/>
              <w:ind w:firstLine="360"/>
            </w:pPr>
            <w:r>
              <w:t>3.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3E" w:rsidRDefault="003B5424">
            <w:pPr>
              <w:pStyle w:val="a4"/>
              <w:shd w:val="clear" w:color="auto" w:fill="auto"/>
            </w:pPr>
            <w:r>
              <w:t>Место, условия и сроки оказания услуг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163E" w:rsidRDefault="003B5424">
            <w:pPr>
              <w:pStyle w:val="a4"/>
              <w:shd w:val="clear" w:color="auto" w:fill="auto"/>
            </w:pPr>
            <w:r>
              <w:t>Место оказания услуг: территория Российской Федерации.</w:t>
            </w:r>
          </w:p>
          <w:p w:rsidR="0008163E" w:rsidRDefault="003B5424">
            <w:pPr>
              <w:pStyle w:val="a4"/>
              <w:shd w:val="clear" w:color="auto" w:fill="auto"/>
            </w:pPr>
            <w:r>
              <w:t>Условия оказания услуг: в соответствии с проектом Договора и предложением победителя ОЗП.</w:t>
            </w:r>
          </w:p>
          <w:p w:rsidR="0008163E" w:rsidRDefault="003B5424">
            <w:pPr>
              <w:pStyle w:val="a4"/>
              <w:shd w:val="clear" w:color="auto" w:fill="auto"/>
            </w:pPr>
            <w:r>
              <w:t xml:space="preserve">Срок оказания услуг: Страхование осуществляется </w:t>
            </w:r>
            <w:proofErr w:type="gramStart"/>
            <w:r>
              <w:t>в соответствии с Договором в течение одного года с даты вступления Договора в силу</w:t>
            </w:r>
            <w:proofErr w:type="gramEnd"/>
            <w:r>
              <w:t xml:space="preserve">. Срок страхования в отношении каждого объекта страхования составляет один год </w:t>
            </w:r>
            <w:proofErr w:type="gramStart"/>
            <w:r>
              <w:t>с даты начала</w:t>
            </w:r>
            <w:proofErr w:type="gramEnd"/>
            <w:r>
              <w:t xml:space="preserve"> периода страхования.</w:t>
            </w:r>
          </w:p>
        </w:tc>
      </w:tr>
      <w:tr w:rsidR="0008163E">
        <w:trPr>
          <w:trHeight w:val="8981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3E" w:rsidRDefault="003B5424">
            <w:pPr>
              <w:pStyle w:val="a4"/>
              <w:shd w:val="clear" w:color="auto" w:fill="auto"/>
              <w:ind w:firstLine="360"/>
            </w:pPr>
            <w:r>
              <w:t>4.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8163E" w:rsidRDefault="003B5424">
            <w:pPr>
              <w:pStyle w:val="a4"/>
              <w:shd w:val="clear" w:color="auto" w:fill="auto"/>
            </w:pPr>
            <w:r>
              <w:t>Краткая характеристика услуг, требования к услугам, требования к описанию услуг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163E" w:rsidRDefault="003B5424">
            <w:pPr>
              <w:pStyle w:val="a4"/>
              <w:shd w:val="clear" w:color="auto" w:fill="auto"/>
            </w:pPr>
            <w:r>
              <w:t xml:space="preserve">В соответствии с Договором Страховщик обязуется оказать Заказчику услуги по добровольному медицинскому страхованию граждан - обязуется организовать и оплатить оказание застрахованным лицам медицинской помощи и иных услуг (медицинские услуги). Добровольное медицинское страхование граждан в соответствии с Договором осуществляется по предложенной Страховщиком Программе добровольного медицинского страхования граждан в полном объеме (далее - программа / </w:t>
            </w:r>
            <w:proofErr w:type="gramStart"/>
            <w:r>
              <w:t>программа</w:t>
            </w:r>
            <w:proofErr w:type="gramEnd"/>
            <w:r>
              <w:t xml:space="preserve"> страхования).</w:t>
            </w:r>
          </w:p>
          <w:p w:rsidR="0008163E" w:rsidRDefault="003B5424">
            <w:pPr>
              <w:pStyle w:val="a4"/>
              <w:shd w:val="clear" w:color="auto" w:fill="auto"/>
            </w:pPr>
            <w:r>
              <w:t>Программа страхования должна предусматривать возможность получения медицинской помощи по следующим видам медицинских услуг:</w:t>
            </w:r>
          </w:p>
          <w:p w:rsidR="0008163E" w:rsidRDefault="003B5424">
            <w:pPr>
              <w:pStyle w:val="a4"/>
              <w:shd w:val="clear" w:color="auto" w:fill="auto"/>
              <w:tabs>
                <w:tab w:val="left" w:pos="202"/>
              </w:tabs>
            </w:pPr>
            <w:r>
              <w:t>а)</w:t>
            </w:r>
            <w:r>
              <w:tab/>
              <w:t>амбулаторно -</w:t>
            </w:r>
            <w:r w:rsidR="00A3676F">
              <w:t xml:space="preserve"> </w:t>
            </w:r>
            <w:r>
              <w:t>поликлиническая пом</w:t>
            </w:r>
            <w:r w:rsidR="0012380C">
              <w:t>ощь, в том числе стоматология;</w:t>
            </w:r>
          </w:p>
          <w:p w:rsidR="0008163E" w:rsidRDefault="003B5424">
            <w:pPr>
              <w:pStyle w:val="a4"/>
              <w:shd w:val="clear" w:color="auto" w:fill="auto"/>
              <w:tabs>
                <w:tab w:val="left" w:pos="216"/>
              </w:tabs>
            </w:pPr>
            <w:r>
              <w:t>б)</w:t>
            </w:r>
            <w:r>
              <w:tab/>
              <w:t xml:space="preserve">стационарное обслуживание, в том числе экстренная </w:t>
            </w:r>
            <w:r w:rsidR="0012380C">
              <w:t xml:space="preserve"> и плановая </w:t>
            </w:r>
            <w:r>
              <w:t>госпитализация;</w:t>
            </w:r>
          </w:p>
          <w:p w:rsidR="0008163E" w:rsidRDefault="003B5424">
            <w:pPr>
              <w:pStyle w:val="a4"/>
              <w:shd w:val="clear" w:color="auto" w:fill="auto"/>
              <w:tabs>
                <w:tab w:val="left" w:pos="211"/>
              </w:tabs>
            </w:pPr>
            <w:r>
              <w:t>в)</w:t>
            </w:r>
            <w:r>
              <w:tab/>
            </w:r>
            <w:r w:rsidR="0012380C">
              <w:t>помощь на дому;</w:t>
            </w:r>
          </w:p>
          <w:p w:rsidR="0012380C" w:rsidRDefault="00A3676F">
            <w:pPr>
              <w:pStyle w:val="a4"/>
              <w:shd w:val="clear" w:color="auto" w:fill="auto"/>
              <w:tabs>
                <w:tab w:val="left" w:pos="211"/>
              </w:tabs>
            </w:pPr>
            <w:r>
              <w:t xml:space="preserve">г) </w:t>
            </w:r>
            <w:proofErr w:type="gramStart"/>
            <w:r w:rsidR="0012380C">
              <w:t>дистанционное</w:t>
            </w:r>
            <w:proofErr w:type="gramEnd"/>
            <w:r w:rsidR="0012380C">
              <w:t xml:space="preserve"> (телемедицинское) онлайн консультация;</w:t>
            </w:r>
          </w:p>
          <w:p w:rsidR="0012380C" w:rsidRDefault="00A3126A">
            <w:pPr>
              <w:pStyle w:val="a4"/>
              <w:shd w:val="clear" w:color="auto" w:fill="auto"/>
              <w:tabs>
                <w:tab w:val="left" w:pos="211"/>
              </w:tabs>
            </w:pPr>
            <w:r>
              <w:t>д</w:t>
            </w:r>
            <w:r w:rsidR="00F749AB">
              <w:t>) с</w:t>
            </w:r>
            <w:r w:rsidR="0012380C">
              <w:t>корая медицинская помощь</w:t>
            </w:r>
          </w:p>
          <w:p w:rsidR="0008163E" w:rsidRDefault="003B5424">
            <w:pPr>
              <w:pStyle w:val="a4"/>
              <w:shd w:val="clear" w:color="auto" w:fill="auto"/>
            </w:pPr>
            <w:r>
              <w:t>Программа страхования должна содержать перечень медицинских услуг по видам, указанным выше.</w:t>
            </w:r>
          </w:p>
          <w:p w:rsidR="004A7DD9" w:rsidRDefault="004A7DD9">
            <w:pPr>
              <w:pStyle w:val="a4"/>
              <w:shd w:val="clear" w:color="auto" w:fill="auto"/>
              <w:rPr>
                <w:b/>
              </w:rPr>
            </w:pPr>
            <w:r w:rsidRPr="004A7DD9">
              <w:rPr>
                <w:b/>
              </w:rPr>
              <w:t>Объем медицинской помощи по программе страхования:</w:t>
            </w:r>
          </w:p>
          <w:p w:rsidR="00513240" w:rsidRPr="00513240" w:rsidRDefault="00513240" w:rsidP="00513240">
            <w:pPr>
              <w:shd w:val="clear" w:color="auto" w:fill="FFFFFF"/>
              <w:ind w:right="3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3240">
              <w:rPr>
                <w:rFonts w:ascii="Times New Roman" w:eastAsia="Times New Roman" w:hAnsi="Times New Roman" w:cs="Times New Roman"/>
                <w:sz w:val="20"/>
                <w:szCs w:val="20"/>
              </w:rPr>
              <w:t>Медицинские услуги по добровольному медицинскому страхованию оказываются при остром заболевании, обострении хронического заболевания, травме (в том числе ожоге, обморожении) и отравлении. Объем медицинских услуг установлен соответствующей программой страхования.</w:t>
            </w:r>
          </w:p>
          <w:p w:rsidR="00513240" w:rsidRPr="004A7DD9" w:rsidRDefault="00513240">
            <w:pPr>
              <w:pStyle w:val="a4"/>
              <w:shd w:val="clear" w:color="auto" w:fill="auto"/>
              <w:rPr>
                <w:b/>
              </w:rPr>
            </w:pPr>
          </w:p>
          <w:p w:rsidR="004A7DD9" w:rsidRDefault="004A7DD9">
            <w:pPr>
              <w:pStyle w:val="a4"/>
              <w:shd w:val="clear" w:color="auto" w:fill="auto"/>
            </w:pPr>
          </w:p>
          <w:p w:rsidR="0008163E" w:rsidRDefault="00A3676F">
            <w:pPr>
              <w:pStyle w:val="a4"/>
              <w:shd w:val="clear" w:color="auto" w:fill="auto"/>
            </w:pPr>
            <w:r>
              <w:rPr>
                <w:b/>
                <w:bCs/>
              </w:rPr>
              <w:t>Допуска</w:t>
            </w:r>
            <w:r w:rsidR="00E52968">
              <w:rPr>
                <w:b/>
                <w:bCs/>
              </w:rPr>
              <w:t>ется Франшиза.</w:t>
            </w:r>
          </w:p>
          <w:p w:rsidR="0008163E" w:rsidRDefault="003B5424">
            <w:pPr>
              <w:pStyle w:val="a4"/>
              <w:shd w:val="clear" w:color="auto" w:fill="auto"/>
            </w:pPr>
            <w:r>
              <w:t>Страховщик обязан обеспечить страхователю возможность оформления индивидуальных договоров страхования (страховых полисов), заключаемых в рамках Договора, а также оказание застрахованным лицам медицинской помощи по месту жительства страхуемых лиц на территории РФ.</w:t>
            </w:r>
          </w:p>
          <w:p w:rsidR="0008163E" w:rsidRDefault="003B5424">
            <w:pPr>
              <w:pStyle w:val="a4"/>
              <w:shd w:val="clear" w:color="auto" w:fill="auto"/>
            </w:pPr>
            <w:r>
              <w:t>Участники размещения заказа в составе заявки представляют описание предлагаемых ими услуг. Описание услуг должно соответствовать требованиям к услугам, их качеству и срокам оказания, установленным в документации ОЗП, в том числе в Техническом задании.</w:t>
            </w:r>
          </w:p>
          <w:p w:rsidR="0008163E" w:rsidRDefault="003B5424">
            <w:pPr>
              <w:pStyle w:val="a4"/>
              <w:shd w:val="clear" w:color="auto" w:fill="auto"/>
            </w:pPr>
            <w:r>
              <w:t>В случае наличия разногласий в Техническом задании и других разделах ОЗП, необходимо руководствоваться текстом, приведенным в Техническом задании.</w:t>
            </w:r>
          </w:p>
        </w:tc>
      </w:tr>
      <w:tr w:rsidR="0008163E">
        <w:trPr>
          <w:trHeight w:val="768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63E" w:rsidRDefault="003B5424">
            <w:pPr>
              <w:pStyle w:val="a4"/>
              <w:shd w:val="clear" w:color="auto" w:fill="auto"/>
              <w:ind w:firstLine="360"/>
            </w:pPr>
            <w:r>
              <w:t>5.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08163E" w:rsidRDefault="0012380C">
            <w:pPr>
              <w:pStyle w:val="a4"/>
              <w:shd w:val="clear" w:color="auto" w:fill="auto"/>
            </w:pPr>
            <w:r>
              <w:t xml:space="preserve">Кол-во персонала 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2380C" w:rsidRDefault="0012380C">
            <w:pPr>
              <w:pStyle w:val="a4"/>
              <w:shd w:val="clear" w:color="auto" w:fill="auto"/>
            </w:pPr>
            <w:r>
              <w:t xml:space="preserve">Всего: 560 человек. Из них по категориям: </w:t>
            </w:r>
          </w:p>
          <w:p w:rsidR="0012380C" w:rsidRDefault="0012380C">
            <w:pPr>
              <w:pStyle w:val="a4"/>
              <w:shd w:val="clear" w:color="auto" w:fill="auto"/>
            </w:pPr>
            <w:proofErr w:type="gramStart"/>
            <w:r>
              <w:t xml:space="preserve">Руководители:  </w:t>
            </w:r>
            <w:r w:rsidR="00302F38">
              <w:t xml:space="preserve">33 </w:t>
            </w:r>
            <w:r>
              <w:t>человек</w:t>
            </w:r>
            <w:r w:rsidR="00302F38">
              <w:t>а</w:t>
            </w:r>
            <w:r>
              <w:t xml:space="preserve"> (Москва – </w:t>
            </w:r>
            <w:r w:rsidR="0010421E">
              <w:t>4</w:t>
            </w:r>
            <w:r w:rsidR="008805E2">
              <w:t xml:space="preserve"> чел., Саратов – 26 чел., Самара – 3</w:t>
            </w:r>
            <w:r>
              <w:t xml:space="preserve"> чел). </w:t>
            </w:r>
            <w:proofErr w:type="gramEnd"/>
          </w:p>
          <w:p w:rsidR="0008163E" w:rsidRDefault="0012380C" w:rsidP="00042901">
            <w:pPr>
              <w:pStyle w:val="a4"/>
              <w:shd w:val="clear" w:color="auto" w:fill="auto"/>
            </w:pPr>
            <w:proofErr w:type="gramStart"/>
            <w:r>
              <w:t>Сотрудники</w:t>
            </w:r>
            <w:r w:rsidR="00302F38">
              <w:t>:</w:t>
            </w:r>
            <w:r w:rsidR="00042901">
              <w:t xml:space="preserve"> 527</w:t>
            </w:r>
            <w:r>
              <w:t xml:space="preserve"> человек</w:t>
            </w:r>
            <w:r w:rsidR="00302F38">
              <w:t>а</w:t>
            </w:r>
            <w:r>
              <w:t xml:space="preserve"> (Москва – </w:t>
            </w:r>
            <w:r w:rsidR="0010421E">
              <w:t>5</w:t>
            </w:r>
            <w:r>
              <w:t xml:space="preserve"> чел., Саратов – 4</w:t>
            </w:r>
            <w:r w:rsidR="008805E2">
              <w:t>12 чел., Самара – 110</w:t>
            </w:r>
            <w:r>
              <w:t xml:space="preserve"> чел.).</w:t>
            </w:r>
            <w:proofErr w:type="gramEnd"/>
          </w:p>
        </w:tc>
      </w:tr>
      <w:tr w:rsidR="0008163E">
        <w:trPr>
          <w:trHeight w:val="53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8163E" w:rsidRDefault="003B5424">
            <w:pPr>
              <w:pStyle w:val="a4"/>
              <w:shd w:val="clear" w:color="auto" w:fill="auto"/>
              <w:ind w:firstLine="360"/>
            </w:pPr>
            <w:r>
              <w:lastRenderedPageBreak/>
              <w:t>6.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63E" w:rsidRDefault="003B5424">
            <w:pPr>
              <w:pStyle w:val="a4"/>
              <w:shd w:val="clear" w:color="auto" w:fill="auto"/>
            </w:pPr>
            <w:r>
              <w:t>Источник финансирования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3E" w:rsidRDefault="003B5424">
            <w:pPr>
              <w:pStyle w:val="a4"/>
              <w:shd w:val="clear" w:color="auto" w:fill="auto"/>
            </w:pPr>
            <w:r>
              <w:t>Собственные средства Заказчика</w:t>
            </w:r>
          </w:p>
        </w:tc>
      </w:tr>
      <w:tr w:rsidR="0008163E">
        <w:trPr>
          <w:trHeight w:val="763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BA7" w:rsidRDefault="00AA6BA7">
            <w:pPr>
              <w:pStyle w:val="a4"/>
              <w:shd w:val="clear" w:color="auto" w:fill="auto"/>
              <w:ind w:firstLine="360"/>
            </w:pPr>
          </w:p>
          <w:p w:rsidR="00A76BCC" w:rsidRDefault="00A76BCC">
            <w:pPr>
              <w:pStyle w:val="a4"/>
              <w:shd w:val="clear" w:color="auto" w:fill="auto"/>
              <w:ind w:firstLine="360"/>
            </w:pPr>
          </w:p>
          <w:p w:rsidR="0008163E" w:rsidRDefault="003B5424">
            <w:pPr>
              <w:pStyle w:val="a4"/>
              <w:shd w:val="clear" w:color="auto" w:fill="auto"/>
              <w:ind w:firstLine="360"/>
            </w:pPr>
            <w:r>
              <w:t>7.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63E" w:rsidRDefault="003B5424">
            <w:pPr>
              <w:pStyle w:val="a4"/>
              <w:shd w:val="clear" w:color="auto" w:fill="auto"/>
            </w:pPr>
            <w:r>
              <w:t>Форма, сроки и порядок оплаты услуг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8163E" w:rsidRDefault="003B5424">
            <w:pPr>
              <w:pStyle w:val="a4"/>
              <w:shd w:val="clear" w:color="auto" w:fill="auto"/>
            </w:pPr>
            <w:r>
              <w:t>Валюта, используемая при формировании цены Контракта - российский рубль. Форма оплаты - безналичный расчет. Срок и порядок оплат</w:t>
            </w:r>
            <w:r w:rsidR="00F749AB">
              <w:t>ы определены в проекте Договора</w:t>
            </w:r>
            <w:r>
              <w:t>.</w:t>
            </w:r>
          </w:p>
        </w:tc>
      </w:tr>
      <w:tr w:rsidR="0008163E">
        <w:trPr>
          <w:trHeight w:val="1618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A6BA7" w:rsidRDefault="00AA6BA7">
            <w:pPr>
              <w:pStyle w:val="a4"/>
              <w:shd w:val="clear" w:color="auto" w:fill="auto"/>
              <w:ind w:firstLine="360"/>
            </w:pPr>
          </w:p>
          <w:p w:rsidR="0008163E" w:rsidRDefault="003B5424">
            <w:pPr>
              <w:pStyle w:val="a4"/>
              <w:shd w:val="clear" w:color="auto" w:fill="auto"/>
              <w:ind w:firstLine="360"/>
            </w:pPr>
            <w:r>
              <w:t>8.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8163E" w:rsidRDefault="00AA6BA7" w:rsidP="00AA6BA7">
            <w:pPr>
              <w:pStyle w:val="a4"/>
              <w:shd w:val="clear" w:color="auto" w:fill="auto"/>
            </w:pPr>
            <w:r>
              <w:t>Срок подписания пр</w:t>
            </w:r>
            <w:r w:rsidR="003B5424">
              <w:t>едварительного договора победителем открытого запроса предложений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8163E" w:rsidRDefault="003B5424" w:rsidP="007B0CE9">
            <w:pPr>
              <w:pStyle w:val="a4"/>
              <w:shd w:val="clear" w:color="auto" w:fill="auto"/>
            </w:pPr>
            <w:r>
              <w:t xml:space="preserve">Победитель обязан подписать Проект предварительного договора и вернуть его </w:t>
            </w:r>
            <w:r w:rsidR="004A7DD9">
              <w:t xml:space="preserve">Заказчику не позднее чем через </w:t>
            </w:r>
            <w:r w:rsidR="007B0CE9">
              <w:t>3 дня</w:t>
            </w:r>
            <w:r>
              <w:t xml:space="preserve"> со дня размещения Заказчиком на сайте протокола оценки и сопоставления заявок (либо Протокола рассмотрения заявок).</w:t>
            </w:r>
          </w:p>
        </w:tc>
      </w:tr>
      <w:tr w:rsidR="0008163E">
        <w:trPr>
          <w:trHeight w:val="1171"/>
        </w:trPr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63E" w:rsidRDefault="003B5424">
            <w:pPr>
              <w:pStyle w:val="a4"/>
              <w:shd w:val="clear" w:color="auto" w:fill="auto"/>
              <w:ind w:firstLine="360"/>
            </w:pPr>
            <w:r>
              <w:t>9.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163E" w:rsidRDefault="00AA6BA7">
            <w:pPr>
              <w:pStyle w:val="a4"/>
              <w:shd w:val="clear" w:color="auto" w:fill="auto"/>
            </w:pPr>
            <w:r>
              <w:t>Ср</w:t>
            </w:r>
            <w:r w:rsidR="003B5424">
              <w:t xml:space="preserve">ок </w:t>
            </w:r>
            <w:r>
              <w:t>заключения проекта пр</w:t>
            </w:r>
            <w:r w:rsidR="003B5424">
              <w:t>едварительного договора</w:t>
            </w:r>
          </w:p>
          <w:p w:rsidR="0008163E" w:rsidRDefault="003B5424">
            <w:pPr>
              <w:pStyle w:val="a4"/>
              <w:shd w:val="clear" w:color="auto" w:fill="auto"/>
            </w:pPr>
            <w:r>
              <w:t>Заказчиком</w:t>
            </w:r>
          </w:p>
        </w:tc>
        <w:tc>
          <w:tcPr>
            <w:tcW w:w="7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8163E" w:rsidRDefault="003B5424">
            <w:pPr>
              <w:pStyle w:val="a4"/>
              <w:shd w:val="clear" w:color="auto" w:fill="auto"/>
            </w:pPr>
            <w:r>
              <w:t>Заказчик обязан подписать проект предварительного договора в течение 2 рабочих дней со дня получения подписанного проекта предварительного договора от Участника размещения заказа. Договор страхования заключается не позднее 2 дней с момента подписания проекта предварительного договора.</w:t>
            </w:r>
          </w:p>
        </w:tc>
      </w:tr>
    </w:tbl>
    <w:p w:rsidR="004048CB" w:rsidRPr="00A3126A" w:rsidRDefault="004048CB">
      <w:bookmarkStart w:id="2" w:name="_GoBack"/>
      <w:bookmarkEnd w:id="2"/>
    </w:p>
    <w:p w:rsidR="004048CB" w:rsidRDefault="004048CB"/>
    <w:sectPr w:rsidR="004048CB">
      <w:footerReference w:type="even" r:id="rId7"/>
      <w:footerReference w:type="default" r:id="rId8"/>
      <w:pgSz w:w="11909" w:h="16840"/>
      <w:pgMar w:top="717" w:right="562" w:bottom="755" w:left="1118" w:header="0" w:footer="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3BF" w:rsidRDefault="000923BF">
      <w:r>
        <w:separator/>
      </w:r>
    </w:p>
  </w:endnote>
  <w:endnote w:type="continuationSeparator" w:id="0">
    <w:p w:rsidR="000923BF" w:rsidRDefault="00092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63E" w:rsidRDefault="003B5424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7014845</wp:posOffset>
              </wp:positionH>
              <wp:positionV relativeFrom="page">
                <wp:posOffset>10277475</wp:posOffset>
              </wp:positionV>
              <wp:extent cx="76200" cy="125095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20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08163E" w:rsidRDefault="003B5424">
                          <w:pPr>
                            <w:pStyle w:val="20"/>
                            <w:shd w:val="clear" w:color="auto" w:fill="auto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1" o:spid="_x0000_s1026" type="#_x0000_t202" style="position:absolute;margin-left:552.35pt;margin-top:809.25pt;width:6pt;height:9.85pt;z-index:-44040179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" filled="f" stroked="f">
              <v:textbox style="mso-fit-shape-to-text:t" inset="0,0,0,0">
                <w:txbxContent>
                  <w:p w:rsidR="0008163E" w:rsidRDefault="003B5424">
                    <w:pPr>
                      <w:pStyle w:val="20"/>
                      <w:shd w:val="clear" w:color="auto" w:fill="auto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163E" w:rsidRDefault="0008163E">
    <w:pPr>
      <w:spacing w:line="1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3BF" w:rsidRDefault="000923BF"/>
  </w:footnote>
  <w:footnote w:type="continuationSeparator" w:id="0">
    <w:p w:rsidR="000923BF" w:rsidRDefault="000923BF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08163E"/>
    <w:rsid w:val="00042901"/>
    <w:rsid w:val="0008163E"/>
    <w:rsid w:val="000923BF"/>
    <w:rsid w:val="000A7F20"/>
    <w:rsid w:val="0010421E"/>
    <w:rsid w:val="0012380C"/>
    <w:rsid w:val="00137494"/>
    <w:rsid w:val="00147DE5"/>
    <w:rsid w:val="00183157"/>
    <w:rsid w:val="00302F38"/>
    <w:rsid w:val="003B5424"/>
    <w:rsid w:val="004048CB"/>
    <w:rsid w:val="004A7DD9"/>
    <w:rsid w:val="004D661A"/>
    <w:rsid w:val="00513240"/>
    <w:rsid w:val="00587CDB"/>
    <w:rsid w:val="00646F56"/>
    <w:rsid w:val="007B0CE9"/>
    <w:rsid w:val="008805E2"/>
    <w:rsid w:val="008B2007"/>
    <w:rsid w:val="00912BC5"/>
    <w:rsid w:val="00A3126A"/>
    <w:rsid w:val="00A3676F"/>
    <w:rsid w:val="00A76BCC"/>
    <w:rsid w:val="00AA6BA7"/>
    <w:rsid w:val="00AD611F"/>
    <w:rsid w:val="00B13610"/>
    <w:rsid w:val="00E52968"/>
    <w:rsid w:val="00EF1E07"/>
    <w:rsid w:val="00F534C4"/>
    <w:rsid w:val="00F749AB"/>
    <w:rsid w:val="00FC1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ind w:left="320" w:firstLine="330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529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968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5132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3">
    <w:name w:val="Другое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ind w:left="320" w:firstLine="3300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4">
    <w:name w:val="Другое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5296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2968"/>
    <w:rPr>
      <w:rFonts w:ascii="Tahoma" w:hAnsi="Tahoma" w:cs="Tahoma"/>
      <w:color w:val="000000"/>
      <w:sz w:val="16"/>
      <w:szCs w:val="16"/>
    </w:rPr>
  </w:style>
  <w:style w:type="paragraph" w:styleId="a7">
    <w:name w:val="List Paragraph"/>
    <w:basedOn w:val="a"/>
    <w:uiPriority w:val="34"/>
    <w:qFormat/>
    <w:rsid w:val="00513240"/>
    <w:pPr>
      <w:widowControl/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3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Безрукова</dc:creator>
  <cp:lastModifiedBy>Tender</cp:lastModifiedBy>
  <cp:revision>9</cp:revision>
  <cp:lastPrinted>2023-12-18T04:46:00Z</cp:lastPrinted>
  <dcterms:created xsi:type="dcterms:W3CDTF">2023-12-15T12:42:00Z</dcterms:created>
  <dcterms:modified xsi:type="dcterms:W3CDTF">2023-12-20T06:55:00Z</dcterms:modified>
</cp:coreProperties>
</file>