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6" w:rsidRPr="00DA5932" w:rsidRDefault="00996576" w:rsidP="00996576">
      <w:pPr>
        <w:widowControl/>
        <w:autoSpaceDE/>
        <w:autoSpaceDN/>
        <w:adjustRightInd/>
        <w:jc w:val="center"/>
      </w:pPr>
      <w:r w:rsidRPr="00DA5932">
        <w:t>ТЕХНИЧЕСКОЕ ЗАДАНИЕ</w:t>
      </w:r>
    </w:p>
    <w:p w:rsidR="00996576" w:rsidRPr="00DA5932" w:rsidRDefault="00996576" w:rsidP="00996576">
      <w:pPr>
        <w:widowControl/>
        <w:autoSpaceDE/>
        <w:autoSpaceDN/>
        <w:adjustRightInd/>
        <w:jc w:val="center"/>
      </w:pPr>
      <w:r w:rsidRPr="00DA5932">
        <w:t>на выполнение работ:</w:t>
      </w:r>
    </w:p>
    <w:p w:rsidR="00996576" w:rsidRPr="00DA5932" w:rsidRDefault="00996576" w:rsidP="00996576">
      <w:pPr>
        <w:widowControl/>
        <w:shd w:val="clear" w:color="auto" w:fill="FFFFFF"/>
        <w:jc w:val="center"/>
        <w:rPr>
          <w:b/>
          <w:bCs/>
        </w:rPr>
      </w:pPr>
      <w:bookmarkStart w:id="0" w:name="_Hlk532209966"/>
      <w:r w:rsidRPr="00DA5932">
        <w:rPr>
          <w:b/>
          <w:bCs/>
        </w:rPr>
        <w:t xml:space="preserve">«Проведение поисково-оценочных работ по геологическому изучению </w:t>
      </w:r>
      <w:proofErr w:type="spellStart"/>
      <w:r w:rsidRPr="00DA5932">
        <w:rPr>
          <w:b/>
          <w:bCs/>
        </w:rPr>
        <w:t>Иргизского</w:t>
      </w:r>
      <w:proofErr w:type="spellEnd"/>
      <w:r w:rsidRPr="00DA5932">
        <w:rPr>
          <w:b/>
          <w:bCs/>
        </w:rPr>
        <w:t xml:space="preserve"> участка недр. Этап I. Сейсморазведочные работы МОГТ-3Д в пределах юго-восточной части </w:t>
      </w:r>
      <w:proofErr w:type="spellStart"/>
      <w:r w:rsidRPr="00DA5932">
        <w:rPr>
          <w:b/>
          <w:bCs/>
        </w:rPr>
        <w:t>Иргизского</w:t>
      </w:r>
      <w:proofErr w:type="spellEnd"/>
      <w:r w:rsidRPr="00DA5932">
        <w:rPr>
          <w:b/>
          <w:bCs/>
        </w:rPr>
        <w:t xml:space="preserve"> лицензионного участка»</w:t>
      </w:r>
    </w:p>
    <w:p w:rsidR="00996576" w:rsidRPr="00996576" w:rsidRDefault="00996576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97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84"/>
      </w:tblGrid>
      <w:tr w:rsidR="00996576" w:rsidRPr="00236500" w:rsidTr="004A1612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Наименование объекта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24674F" w:rsidP="00996576">
            <w:pPr>
              <w:widowControl/>
              <w:shd w:val="clear" w:color="auto" w:fill="FFFFFF"/>
              <w:jc w:val="center"/>
              <w:rPr>
                <w:bCs/>
                <w:lang w:val="en-US"/>
              </w:rPr>
            </w:pPr>
            <w:proofErr w:type="spellStart"/>
            <w:r w:rsidRPr="00236500">
              <w:rPr>
                <w:bCs/>
              </w:rPr>
              <w:t>Иргизский</w:t>
            </w:r>
            <w:proofErr w:type="spellEnd"/>
            <w:r w:rsidRPr="00236500">
              <w:rPr>
                <w:bCs/>
              </w:rPr>
              <w:t xml:space="preserve"> лицензионный участок</w:t>
            </w:r>
          </w:p>
        </w:tc>
      </w:tr>
      <w:tr w:rsidR="00996576" w:rsidRPr="00236500" w:rsidTr="004A1612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Основание для выполнения работы</w:t>
            </w:r>
          </w:p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484" w:type="dxa"/>
            <w:shd w:val="clear" w:color="auto" w:fill="auto"/>
          </w:tcPr>
          <w:p w:rsidR="0024674F" w:rsidRPr="00236500" w:rsidRDefault="00996576" w:rsidP="0024674F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 xml:space="preserve"> </w:t>
            </w:r>
            <w:r w:rsidR="0024674F" w:rsidRPr="00236500">
              <w:rPr>
                <w:bCs/>
              </w:rPr>
              <w:t>Лицензия ООО «</w:t>
            </w:r>
            <w:proofErr w:type="spellStart"/>
            <w:r w:rsidR="0024674F" w:rsidRPr="00236500">
              <w:rPr>
                <w:bCs/>
              </w:rPr>
              <w:t>ЮКОЛА-нефть</w:t>
            </w:r>
            <w:proofErr w:type="spellEnd"/>
            <w:r w:rsidR="0024674F" w:rsidRPr="00236500">
              <w:rPr>
                <w:bCs/>
              </w:rPr>
              <w:t>»:</w:t>
            </w:r>
          </w:p>
          <w:p w:rsidR="00996576" w:rsidRPr="00236500" w:rsidRDefault="0024674F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 xml:space="preserve">- СРТ 01564 НП для геологического изучения с целью поисков и оценки месторождений УВ сырья в пределах </w:t>
            </w:r>
            <w:proofErr w:type="spellStart"/>
            <w:r w:rsidRPr="00236500">
              <w:rPr>
                <w:bCs/>
              </w:rPr>
              <w:t>Иргизского</w:t>
            </w:r>
            <w:proofErr w:type="spellEnd"/>
            <w:r w:rsidR="00DA5932">
              <w:rPr>
                <w:bCs/>
              </w:rPr>
              <w:t xml:space="preserve"> участка (</w:t>
            </w:r>
            <w:proofErr w:type="gramStart"/>
            <w:r w:rsidR="00DA5932">
              <w:rPr>
                <w:bCs/>
              </w:rPr>
              <w:t>выдана</w:t>
            </w:r>
            <w:proofErr w:type="gramEnd"/>
            <w:r w:rsidR="00DA5932">
              <w:rPr>
                <w:bCs/>
              </w:rPr>
              <w:t xml:space="preserve"> 08.10.2013 г).</w:t>
            </w:r>
          </w:p>
        </w:tc>
      </w:tr>
      <w:tr w:rsidR="00996576" w:rsidRPr="00236500" w:rsidTr="004A1612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Заказчик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>ООО «</w:t>
            </w:r>
            <w:proofErr w:type="spellStart"/>
            <w:r w:rsidRPr="00236500">
              <w:rPr>
                <w:bCs/>
              </w:rPr>
              <w:t>ЮКОЛА-нефть</w:t>
            </w:r>
            <w:proofErr w:type="spellEnd"/>
            <w:r w:rsidRPr="00236500">
              <w:rPr>
                <w:bCs/>
              </w:rPr>
              <w:t>»</w:t>
            </w:r>
          </w:p>
        </w:tc>
      </w:tr>
      <w:tr w:rsidR="0024674F" w:rsidRPr="00236500" w:rsidTr="004A1612">
        <w:tc>
          <w:tcPr>
            <w:tcW w:w="2235" w:type="dxa"/>
            <w:shd w:val="clear" w:color="auto" w:fill="auto"/>
          </w:tcPr>
          <w:p w:rsidR="0024674F" w:rsidRPr="00236500" w:rsidRDefault="0024674F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t xml:space="preserve"> Целевое назначение работ:</w:t>
            </w:r>
          </w:p>
        </w:tc>
        <w:tc>
          <w:tcPr>
            <w:tcW w:w="7484" w:type="dxa"/>
            <w:shd w:val="clear" w:color="auto" w:fill="auto"/>
          </w:tcPr>
          <w:p w:rsidR="0024674F" w:rsidRPr="00DA5932" w:rsidRDefault="0024674F" w:rsidP="00DA5932">
            <w:pPr>
              <w:widowControl/>
              <w:autoSpaceDE/>
              <w:autoSpaceDN/>
              <w:adjustRightInd/>
              <w:jc w:val="both"/>
            </w:pPr>
            <w:r w:rsidRPr="00236500">
              <w:rPr>
                <w:bCs/>
              </w:rPr>
              <w:t xml:space="preserve">Проведение детальных сейсморазведочных работ МОГТ-3Д в объёме </w:t>
            </w:r>
            <w:r w:rsidRPr="00236500">
              <w:t>28,8 км</w:t>
            </w:r>
            <w:proofErr w:type="gramStart"/>
            <w:r w:rsidRPr="00236500">
              <w:rPr>
                <w:vertAlign w:val="superscript"/>
              </w:rPr>
              <w:t>2</w:t>
            </w:r>
            <w:proofErr w:type="gramEnd"/>
            <w:r w:rsidRPr="00236500">
              <w:t xml:space="preserve"> для  </w:t>
            </w:r>
            <w:r w:rsidRPr="00236500">
              <w:rPr>
                <w:bCs/>
              </w:rPr>
              <w:t>д</w:t>
            </w:r>
            <w:r w:rsidRPr="00236500">
              <w:t xml:space="preserve">етализации геологического строения юго-восточной части </w:t>
            </w:r>
            <w:proofErr w:type="spellStart"/>
            <w:r w:rsidRPr="00236500">
              <w:t>Иргизского</w:t>
            </w:r>
            <w:proofErr w:type="spellEnd"/>
            <w:r w:rsidRPr="00236500">
              <w:t xml:space="preserve"> участка недр с целью </w:t>
            </w:r>
            <w:r w:rsidRPr="00236500">
              <w:rPr>
                <w:color w:val="000000"/>
              </w:rPr>
              <w:t>выявления и подготовки к глубокому бурению перспективных на нефть и газ объектов</w:t>
            </w:r>
            <w:r w:rsidR="00DA5932">
              <w:t>.</w:t>
            </w:r>
          </w:p>
        </w:tc>
      </w:tr>
      <w:tr w:rsidR="00996576" w:rsidRPr="00236500" w:rsidTr="0029272E">
        <w:trPr>
          <w:trHeight w:val="1422"/>
        </w:trPr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Стадийность и сроки проведения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>Выполнение поэтапно:</w:t>
            </w:r>
          </w:p>
          <w:p w:rsidR="0024674F" w:rsidRPr="00236500" w:rsidRDefault="0024674F" w:rsidP="0024674F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Полевые сейсморазведочные работы МОГТ-3Д в объеме 28,8 кв. км дневной поверхности съемки – </w:t>
            </w:r>
            <w:r w:rsidR="0085186D">
              <w:rPr>
                <w:rFonts w:eastAsia="SimSun" w:cs="Tahoma"/>
                <w:kern w:val="1"/>
                <w:lang w:eastAsia="hi-IN" w:bidi="hi-IN"/>
              </w:rPr>
              <w:t xml:space="preserve">май-июнь 2024г. </w:t>
            </w:r>
          </w:p>
          <w:p w:rsidR="0024674F" w:rsidRPr="00236500" w:rsidRDefault="0024674F" w:rsidP="0024674F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rPr>
                <w:bCs/>
              </w:rPr>
              <w:t xml:space="preserve">Обработка полевого материала – </w:t>
            </w:r>
            <w:r w:rsidR="0085186D">
              <w:rPr>
                <w:bCs/>
              </w:rPr>
              <w:t>июль-декабрь 2024</w:t>
            </w:r>
          </w:p>
          <w:p w:rsidR="0029272E" w:rsidRPr="0029272E" w:rsidRDefault="0024674F" w:rsidP="0029272E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t xml:space="preserve">Составление окончательного отчета, рецензирование, защита на ГТС Заказчика, сдача в фонды </w:t>
            </w:r>
            <w:r w:rsidR="0085186D">
              <w:t>–</w:t>
            </w:r>
            <w:r w:rsidRPr="00236500">
              <w:t xml:space="preserve"> </w:t>
            </w:r>
            <w:r w:rsidR="0085186D">
              <w:t xml:space="preserve">январь 2025г. </w:t>
            </w:r>
          </w:p>
        </w:tc>
      </w:tr>
      <w:tr w:rsidR="00996576" w:rsidRPr="00236500" w:rsidTr="004A1612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Сроки и условия оплаты услуг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DD3786" w:rsidP="00DD3786">
            <w:pPr>
              <w:pStyle w:val="1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36500">
              <w:rPr>
                <w:rFonts w:ascii="Times New Roman" w:hAnsi="Times New Roman"/>
                <w:sz w:val="20"/>
              </w:rPr>
              <w:t>Для финансирования начала работ по мобилизации, завозке грузов, комплектации необходимыми материалами, оборудованием, для пр</w:t>
            </w:r>
            <w:r w:rsidR="000F22E3">
              <w:rPr>
                <w:rFonts w:ascii="Times New Roman" w:hAnsi="Times New Roman"/>
                <w:sz w:val="20"/>
              </w:rPr>
              <w:t xml:space="preserve">оведения подготовительных работ </w:t>
            </w:r>
            <w:r w:rsidRPr="00236500">
              <w:rPr>
                <w:rFonts w:ascii="Times New Roman" w:hAnsi="Times New Roman"/>
                <w:b/>
                <w:sz w:val="20"/>
              </w:rPr>
              <w:t>Заказчик</w:t>
            </w:r>
            <w:r w:rsidRPr="00236500">
              <w:rPr>
                <w:rFonts w:ascii="Times New Roman" w:hAnsi="Times New Roman"/>
                <w:sz w:val="20"/>
              </w:rPr>
              <w:t xml:space="preserve"> перечисляет на расчетный счет </w:t>
            </w:r>
            <w:r w:rsidRPr="00236500">
              <w:rPr>
                <w:rFonts w:ascii="Times New Roman" w:hAnsi="Times New Roman"/>
                <w:b/>
                <w:sz w:val="20"/>
              </w:rPr>
              <w:t>Подрядчика</w:t>
            </w:r>
            <w:r w:rsidRPr="00236500">
              <w:rPr>
                <w:rFonts w:ascii="Times New Roman" w:hAnsi="Times New Roman"/>
                <w:sz w:val="20"/>
              </w:rPr>
              <w:t xml:space="preserve"> авансовый платеж в размере 30% от цены работ, Сумма перечисленного аванса вычитается из суммы оплаты каждого акта приема-сдачи выполненных работ в размере 30% (Тридцать процентов) от ее величины</w:t>
            </w:r>
            <w:r w:rsidRPr="00236500">
              <w:rPr>
                <w:rFonts w:ascii="Times New Roman" w:hAnsi="Times New Roman"/>
                <w:color w:val="000000"/>
                <w:sz w:val="20"/>
              </w:rPr>
              <w:t xml:space="preserve"> до полного погашения суммы аванса</w:t>
            </w:r>
            <w:r w:rsidRPr="0023650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236500">
              <w:rPr>
                <w:rFonts w:ascii="Times New Roman" w:hAnsi="Times New Roman"/>
                <w:sz w:val="20"/>
              </w:rPr>
              <w:t xml:space="preserve"> Оплата производится частями,  после выполнения каждого этапа работ. </w:t>
            </w:r>
            <w:r w:rsidR="004C109A" w:rsidRPr="0023650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6576" w:rsidRPr="00236500" w:rsidTr="004A1612">
        <w:tc>
          <w:tcPr>
            <w:tcW w:w="2235" w:type="dxa"/>
            <w:shd w:val="clear" w:color="auto" w:fill="auto"/>
          </w:tcPr>
          <w:p w:rsidR="00996576" w:rsidRPr="00236500" w:rsidRDefault="00B405F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Пространственные границы объекта</w:t>
            </w:r>
          </w:p>
        </w:tc>
        <w:tc>
          <w:tcPr>
            <w:tcW w:w="748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"/>
              <w:gridCol w:w="1030"/>
              <w:gridCol w:w="1017"/>
              <w:gridCol w:w="1145"/>
              <w:gridCol w:w="1030"/>
              <w:gridCol w:w="1017"/>
              <w:gridCol w:w="1145"/>
            </w:tblGrid>
            <w:tr w:rsidR="00B405F2" w:rsidRPr="00236500" w:rsidTr="00B405F2">
              <w:trPr>
                <w:jc w:val="center"/>
              </w:trPr>
              <w:tc>
                <w:tcPr>
                  <w:tcW w:w="72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ГСК-2011</w:t>
                  </w:r>
                </w:p>
              </w:tc>
            </w:tr>
            <w:tr w:rsidR="00B405F2" w:rsidRPr="00236500" w:rsidTr="00B405F2">
              <w:trPr>
                <w:jc w:val="center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52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13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18,1024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48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59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16,3123</w:t>
                  </w:r>
                </w:p>
              </w:tc>
            </w:tr>
            <w:tr w:rsidR="00B405F2" w:rsidRPr="00236500" w:rsidTr="00B405F2">
              <w:trPr>
                <w:jc w:val="center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2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52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13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20,0100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49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07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41,9032</w:t>
                  </w:r>
                </w:p>
              </w:tc>
            </w:tr>
            <w:tr w:rsidR="00B405F2" w:rsidRPr="00236500" w:rsidTr="00B405F2">
              <w:trPr>
                <w:jc w:val="center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3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52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14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58,0418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49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07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40,579</w:t>
                  </w:r>
                </w:p>
              </w:tc>
            </w:tr>
            <w:tr w:rsidR="00B405F2" w:rsidRPr="00236500" w:rsidTr="00B405F2">
              <w:trPr>
                <w:jc w:val="center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cr/>
                    <w:t>2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14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55,1342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48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59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5F2" w:rsidRPr="00236500" w:rsidRDefault="00B405F2" w:rsidP="00B405F2">
                  <w:pPr>
                    <w:jc w:val="center"/>
                  </w:pPr>
                  <w:r w:rsidRPr="00236500">
                    <w:t>14,6884</w:t>
                  </w:r>
                </w:p>
              </w:tc>
            </w:tr>
          </w:tbl>
          <w:p w:rsidR="00B405F2" w:rsidRPr="00236500" w:rsidRDefault="00B405F2" w:rsidP="00996576">
            <w:pPr>
              <w:widowControl/>
              <w:shd w:val="clear" w:color="auto" w:fill="FFFFFF"/>
              <w:jc w:val="both"/>
              <w:rPr>
                <w:bCs/>
              </w:rPr>
            </w:pPr>
          </w:p>
        </w:tc>
      </w:tr>
      <w:tr w:rsidR="00B405F2" w:rsidRPr="00236500" w:rsidTr="004A1612">
        <w:tc>
          <w:tcPr>
            <w:tcW w:w="2235" w:type="dxa"/>
            <w:shd w:val="clear" w:color="auto" w:fill="auto"/>
          </w:tcPr>
          <w:p w:rsidR="00B405F2" w:rsidRPr="00236500" w:rsidRDefault="00B405F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Основные оценочные параметры</w:t>
            </w:r>
          </w:p>
        </w:tc>
        <w:tc>
          <w:tcPr>
            <w:tcW w:w="7484" w:type="dxa"/>
            <w:shd w:val="clear" w:color="auto" w:fill="auto"/>
          </w:tcPr>
          <w:p w:rsidR="00236500" w:rsidRPr="00236500" w:rsidRDefault="00236500" w:rsidP="00236500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236500">
              <w:rPr>
                <w:b/>
                <w:i/>
              </w:rPr>
              <w:t xml:space="preserve">Оценочные параметры при составлении проектной и отчетной документации </w:t>
            </w:r>
            <w:r w:rsidRPr="00236500">
              <w:t>определяются требованиями следующих нормативных документов:</w:t>
            </w:r>
          </w:p>
          <w:p w:rsidR="00236500" w:rsidRPr="00236500" w:rsidRDefault="00236500" w:rsidP="00236500">
            <w:pPr>
              <w:jc w:val="both"/>
            </w:pPr>
            <w:r w:rsidRPr="00236500">
              <w:t xml:space="preserve">- Закон Российской Федерации от 21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36500">
                <w:t>1992 г</w:t>
              </w:r>
            </w:smartTag>
            <w:r w:rsidRPr="00236500">
              <w:t>. № 2395-1 «О недрах»;</w:t>
            </w:r>
          </w:p>
          <w:p w:rsidR="00236500" w:rsidRPr="00236500" w:rsidRDefault="00236500" w:rsidP="00236500">
            <w:pPr>
              <w:jc w:val="both"/>
            </w:pPr>
            <w:r w:rsidRPr="00236500">
              <w:t xml:space="preserve">- Приказ Минприроды России от 7 февраля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36500">
                <w:t>2001 г</w:t>
              </w:r>
            </w:smartTag>
            <w:r w:rsidRPr="00236500">
              <w:t>. №126 «Об утверждении временных положения и классификаций»;</w:t>
            </w:r>
          </w:p>
          <w:p w:rsidR="00236500" w:rsidRPr="00236500" w:rsidRDefault="00236500" w:rsidP="00236500">
            <w:pPr>
              <w:jc w:val="both"/>
            </w:pPr>
            <w:r w:rsidRPr="00236500">
              <w:rPr>
                <w:bCs/>
              </w:rPr>
              <w:t xml:space="preserve">- Приказ Минприроды России от 14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36500">
                <w:rPr>
                  <w:bCs/>
                </w:rPr>
                <w:t>2016 г</w:t>
              </w:r>
            </w:smartTag>
            <w:r w:rsidRPr="00236500">
              <w:rPr>
                <w:bCs/>
              </w:rPr>
              <w:t>. №352 «</w:t>
            </w:r>
            <w:r w:rsidRPr="00236500">
              <w:rPr>
                <w:shd w:val="clear" w:color="auto" w:fill="FFFFFF"/>
              </w:rPr>
              <w:t>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ископаемых»;</w:t>
            </w:r>
          </w:p>
          <w:p w:rsidR="00236500" w:rsidRPr="00236500" w:rsidRDefault="00236500" w:rsidP="00236500">
            <w:pPr>
              <w:pStyle w:val="a9"/>
              <w:spacing w:line="240" w:lineRule="auto"/>
              <w:rPr>
                <w:b/>
                <w:sz w:val="20"/>
              </w:rPr>
            </w:pPr>
            <w:r w:rsidRPr="00236500">
              <w:rPr>
                <w:sz w:val="20"/>
                <w:lang w:eastAsia="en-US"/>
              </w:rPr>
              <w:t xml:space="preserve">- Приказ Минприроды России от 23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36500">
                <w:rPr>
                  <w:sz w:val="20"/>
                  <w:lang w:eastAsia="en-US"/>
                </w:rPr>
                <w:t>2016 г</w:t>
              </w:r>
            </w:smartTag>
            <w:r w:rsidRPr="00236500">
              <w:rPr>
                <w:sz w:val="20"/>
                <w:lang w:eastAsia="en-US"/>
              </w:rPr>
              <w:t>. № 490 «Об утверждении 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разведки месторождений полезных ископаемых и размера платы за ее проведение</w:t>
            </w:r>
            <w:r w:rsidRPr="00236500">
              <w:rPr>
                <w:sz w:val="20"/>
              </w:rPr>
              <w:t>»;</w:t>
            </w:r>
          </w:p>
          <w:p w:rsidR="00236500" w:rsidRPr="00236500" w:rsidRDefault="00236500" w:rsidP="00236500">
            <w:pPr>
              <w:jc w:val="both"/>
            </w:pPr>
            <w:r w:rsidRPr="00236500">
              <w:t>- Инструкция по сейсморазведке (М.: Министерство геологии СССР, 1986);</w:t>
            </w:r>
          </w:p>
          <w:p w:rsidR="00236500" w:rsidRPr="00236500" w:rsidRDefault="00236500" w:rsidP="00236500">
            <w:pPr>
              <w:jc w:val="both"/>
            </w:pPr>
            <w:r w:rsidRPr="00236500">
              <w:t xml:space="preserve">- Инструкция по топографо-геодезическому и навигационному обеспечению геологоразведочных работ (утверждена Минприроды России 3 декабря </w:t>
            </w:r>
            <w:smartTag w:uri="urn:schemas-microsoft-com:office:smarttags" w:element="metricconverter">
              <w:smartTagPr>
                <w:attr w:name="ProductID" w:val="1996 г"/>
              </w:smartTagPr>
              <w:r w:rsidRPr="00236500">
                <w:t>1996 г</w:t>
              </w:r>
            </w:smartTag>
            <w:r w:rsidRPr="00236500">
              <w:t>.);</w:t>
            </w:r>
          </w:p>
          <w:p w:rsidR="00236500" w:rsidRPr="00236500" w:rsidRDefault="00236500" w:rsidP="00236500">
            <w:pPr>
              <w:jc w:val="both"/>
            </w:pPr>
            <w:r w:rsidRPr="00236500">
              <w:t xml:space="preserve">- Федеральный закон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36500">
                <w:t>2002 г</w:t>
              </w:r>
            </w:smartTag>
            <w:r w:rsidRPr="00236500">
              <w:t>. № 7-ФЗ «Об охране окружающей среды»;</w:t>
            </w:r>
          </w:p>
          <w:p w:rsidR="00236500" w:rsidRPr="00236500" w:rsidRDefault="00236500" w:rsidP="00236500">
            <w:pPr>
              <w:jc w:val="both"/>
              <w:rPr>
                <w:bCs/>
              </w:rPr>
            </w:pPr>
            <w:r w:rsidRPr="00236500">
              <w:rPr>
                <w:bCs/>
              </w:rPr>
              <w:t xml:space="preserve">- </w:t>
            </w:r>
            <w:r w:rsidRPr="00236500">
              <w:t xml:space="preserve">ГОСТ </w:t>
            </w:r>
            <w:proofErr w:type="gramStart"/>
            <w:r w:rsidRPr="00236500">
              <w:t>Р</w:t>
            </w:r>
            <w:proofErr w:type="gramEnd"/>
            <w:r w:rsidRPr="00236500">
              <w:t xml:space="preserve"> 53579-2009 Система стандартов в области геологического изучения недр (СОГИН). Отчет о геологическом изучении недр. Общие требования к содержанию и оформлению</w:t>
            </w:r>
            <w:r w:rsidRPr="00236500">
              <w:rPr>
                <w:bCs/>
              </w:rPr>
              <w:t>.</w:t>
            </w:r>
          </w:p>
          <w:p w:rsidR="00DA5932" w:rsidRPr="00236500" w:rsidRDefault="00236500" w:rsidP="00236500">
            <w:pPr>
              <w:tabs>
                <w:tab w:val="left" w:pos="315"/>
              </w:tabs>
            </w:pPr>
            <w:r w:rsidRPr="00236500">
              <w:tab/>
            </w:r>
            <w:r w:rsidRPr="00236500">
              <w:rPr>
                <w:b/>
                <w:bCs/>
                <w:i/>
              </w:rPr>
              <w:t xml:space="preserve">Полевые сейсморазведочные работы </w:t>
            </w:r>
            <w:r w:rsidRPr="00236500">
              <w:rPr>
                <w:bCs/>
              </w:rPr>
              <w:t>проводятся</w:t>
            </w:r>
            <w:r w:rsidRPr="00236500">
              <w:t xml:space="preserve"> при соблюдении следующих критериев качества приёмной расстановки, телеметрической системы, работы источников и полевого материала (сейсмограмм):</w:t>
            </w:r>
          </w:p>
          <w:tbl>
            <w:tblPr>
              <w:tblW w:w="61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6"/>
              <w:gridCol w:w="737"/>
              <w:gridCol w:w="1134"/>
              <w:gridCol w:w="2776"/>
            </w:tblGrid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jc w:val="center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Параметры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jc w:val="center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Допустимые значения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6123" w:type="dxa"/>
                  <w:gridSpan w:val="4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jc w:val="center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Вибрационные источники: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1476" w:type="dxa"/>
                  <w:vMerge w:val="restart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Force</w:t>
                  </w:r>
                  <w:r w:rsidRPr="00236500">
                    <w:rPr>
                      <w:iCs/>
                      <w:lang w:eastAsia="en-US"/>
                    </w:rPr>
                    <w:t xml:space="preserve">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(мощность излучения)</w:t>
                  </w:r>
                </w:p>
              </w:tc>
              <w:tc>
                <w:tcPr>
                  <w:tcW w:w="1871" w:type="dxa"/>
                  <w:gridSpan w:val="2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Peak</w:t>
                  </w:r>
                  <w:r w:rsidRPr="00236500">
                    <w:rPr>
                      <w:iCs/>
                      <w:lang w:eastAsia="en-US"/>
                    </w:rPr>
                    <w:t xml:space="preserve"> (пиковая)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± 10% (от 100% мощности)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1476" w:type="dxa"/>
                  <w:vMerge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871" w:type="dxa"/>
                  <w:gridSpan w:val="2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Average</w:t>
                  </w:r>
                  <w:r w:rsidRPr="00236500">
                    <w:rPr>
                      <w:iCs/>
                      <w:lang w:eastAsia="en-US"/>
                    </w:rPr>
                    <w:t xml:space="preserve"> (средняя)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± 5% (от 100% мощности)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1476" w:type="dxa"/>
                  <w:vMerge w:val="restart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Phase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 xml:space="preserve">(погрешность </w:t>
                  </w:r>
                  <w:r w:rsidRPr="00236500">
                    <w:rPr>
                      <w:iCs/>
                      <w:lang w:eastAsia="en-US"/>
                    </w:rPr>
                    <w:cr/>
                    <w:t>о фазе)</w:t>
                  </w:r>
                </w:p>
              </w:tc>
              <w:tc>
                <w:tcPr>
                  <w:tcW w:w="1871" w:type="dxa"/>
                  <w:gridSpan w:val="2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Peak</w:t>
                  </w:r>
                  <w:r w:rsidRPr="00236500">
                    <w:rPr>
                      <w:iCs/>
                      <w:lang w:eastAsia="en-US"/>
                    </w:rPr>
                    <w:t xml:space="preserve"> (мгновенная)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&lt;</w:t>
                  </w:r>
                  <w:r w:rsidRPr="00236500">
                    <w:rPr>
                      <w:iCs/>
                      <w:lang w:eastAsia="en-US"/>
                    </w:rPr>
                    <w:t xml:space="preserve"> ±8 градусов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(исключая конус)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1476" w:type="dxa"/>
                  <w:vMerge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871" w:type="dxa"/>
                  <w:gridSpan w:val="2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Average</w:t>
                  </w:r>
                  <w:r w:rsidRPr="00236500">
                    <w:rPr>
                      <w:iCs/>
                      <w:lang w:eastAsia="en-US"/>
                    </w:rPr>
                    <w:t xml:space="preserve"> (средняя)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&lt;</w:t>
                  </w:r>
                  <w:r w:rsidRPr="00236500">
                    <w:rPr>
                      <w:iCs/>
                      <w:lang w:eastAsia="en-US"/>
                    </w:rPr>
                    <w:t xml:space="preserve"> ±</w:t>
                  </w:r>
                  <w:r w:rsidRPr="00236500">
                    <w:rPr>
                      <w:iCs/>
                      <w:lang w:val="en-US" w:eastAsia="en-US"/>
                    </w:rPr>
                    <w:t>3</w:t>
                  </w:r>
                  <w:r w:rsidRPr="00236500">
                    <w:rPr>
                      <w:iCs/>
                      <w:lang w:eastAsia="en-US"/>
                    </w:rPr>
                    <w:t xml:space="preserve"> градусов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lastRenderedPageBreak/>
                    <w:t>(исключая конус)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1476" w:type="dxa"/>
                  <w:vMerge w:val="restart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lastRenderedPageBreak/>
                    <w:t>Distortion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(нелинейные искажения)</w:t>
                  </w:r>
                </w:p>
              </w:tc>
              <w:tc>
                <w:tcPr>
                  <w:tcW w:w="1871" w:type="dxa"/>
                  <w:gridSpan w:val="2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Peak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(по пиковому значению)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val="en-US"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 xml:space="preserve">не более 60 %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val="en-US"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(исключая конус)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1476" w:type="dxa"/>
                  <w:vMerge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871" w:type="dxa"/>
                  <w:gridSpan w:val="2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Average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(по среднему значению)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val="en-US"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 xml:space="preserve">не более 30 %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 w:hanging="12"/>
                    <w:rPr>
                      <w:iCs/>
                      <w:lang w:val="en-US"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(исключая конус)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6123" w:type="dxa"/>
                  <w:gridSpan w:val="4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Приёмная расстановка: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Tilt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(импульсный тест)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&lt; 7.</w:t>
                  </w:r>
                  <w:r w:rsidRPr="00236500">
                    <w:rPr>
                      <w:iCs/>
                      <w:lang w:val="en-US" w:eastAsia="en-US"/>
                    </w:rPr>
                    <w:t>5</w:t>
                  </w:r>
                  <w:r w:rsidRPr="00236500">
                    <w:rPr>
                      <w:iCs/>
                      <w:lang w:eastAsia="en-US"/>
                    </w:rPr>
                    <w:t xml:space="preserve"> %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Noise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(шум расстановки)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&lt; 25 мкВ для 90% активной расстановки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Leakage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(утечки расстановки)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&gt; 0.5 МОм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t>Resistance</w:t>
                  </w:r>
                  <w:proofErr w:type="spellEnd"/>
                  <w:r w:rsidRPr="00236500">
                    <w:t xml:space="preserve"> (сопротивление групп сейсмоприемников по постоянному току)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sym w:font="Symbol" w:char="F0B1"/>
                  </w:r>
                  <w:r w:rsidRPr="00236500">
                    <w:rPr>
                      <w:iCs/>
                      <w:lang w:eastAsia="en-US"/>
                    </w:rPr>
                    <w:t xml:space="preserve"> 5 % Ом от </w:t>
                  </w:r>
                  <w:r w:rsidRPr="00236500">
                    <w:rPr>
                      <w:iCs/>
                      <w:lang w:eastAsia="en-US"/>
                    </w:rPr>
                    <w:cr/>
                    <w:t>реднего значения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6123" w:type="dxa"/>
                  <w:gridSpan w:val="4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Телеметрическая система: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Noise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(среднеквадратичное значение шума)</w:t>
                  </w:r>
                </w:p>
              </w:tc>
              <w:tc>
                <w:tcPr>
                  <w:tcW w:w="2776" w:type="dxa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&lt; 1 мкВ при мах сигнале 1.6</w:t>
                  </w:r>
                  <w:proofErr w:type="gramStart"/>
                  <w:r w:rsidRPr="00236500">
                    <w:rPr>
                      <w:iCs/>
                      <w:lang w:eastAsia="en-US"/>
                    </w:rPr>
                    <w:t xml:space="preserve"> В</w:t>
                  </w:r>
                  <w:proofErr w:type="gramEnd"/>
                  <w:r w:rsidRPr="00236500">
                    <w:rPr>
                      <w:iCs/>
                      <w:lang w:eastAsia="en-US"/>
                    </w:rPr>
                    <w:t xml:space="preserve"> 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(усиление 0 дБ)</w:t>
                  </w:r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&lt; 0.25 мкВ при мах сигнале 0.4</w:t>
                  </w:r>
                  <w:proofErr w:type="gramStart"/>
                  <w:r w:rsidRPr="00236500">
                    <w:rPr>
                      <w:iCs/>
                      <w:lang w:eastAsia="en-US"/>
                    </w:rPr>
                    <w:t xml:space="preserve"> В</w:t>
                  </w:r>
                  <w:proofErr w:type="gramEnd"/>
                </w:p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(усиление 12 дБ)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Distortion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(тест нелинейных искажений)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&lt; -103 дБ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CMRR (</w:t>
                  </w:r>
                  <w:proofErr w:type="spellStart"/>
                  <w:r w:rsidRPr="00236500">
                    <w:rPr>
                      <w:iCs/>
                      <w:lang w:eastAsia="en-US"/>
                    </w:rPr>
                    <w:t>коэф</w:t>
                  </w:r>
                  <w:proofErr w:type="gramStart"/>
                  <w:r w:rsidRPr="00236500">
                    <w:rPr>
                      <w:iCs/>
                      <w:lang w:eastAsia="en-US"/>
                    </w:rPr>
                    <w:t>.о</w:t>
                  </w:r>
                  <w:proofErr w:type="gramEnd"/>
                  <w:r w:rsidRPr="00236500">
                    <w:rPr>
                      <w:iCs/>
                      <w:lang w:eastAsia="en-US"/>
                    </w:rPr>
                    <w:t>слабления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cr/>
                    <w:t>синфазной помехи)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&gt; 100 дБ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Phase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236500">
                    <w:rPr>
                      <w:iCs/>
                      <w:lang w:eastAsia="en-US"/>
                    </w:rPr>
                    <w:t>error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(мах фазовая погрешность)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 xml:space="preserve">&lt; 20 </w:t>
                  </w:r>
                  <w:proofErr w:type="spellStart"/>
                  <w:r w:rsidRPr="00236500">
                    <w:rPr>
                      <w:iCs/>
                      <w:lang w:eastAsia="en-US"/>
                    </w:rPr>
                    <w:t>мкс</w:t>
                  </w:r>
                  <w:proofErr w:type="spellEnd"/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Gain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236500">
                    <w:rPr>
                      <w:iCs/>
                      <w:lang w:eastAsia="en-US"/>
                    </w:rPr>
                    <w:t>error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(мах погрешность усиления)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&lt; 1 %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3347" w:type="dxa"/>
                  <w:gridSpan w:val="3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proofErr w:type="spellStart"/>
                  <w:r w:rsidRPr="00236500">
                    <w:rPr>
                      <w:iCs/>
                      <w:lang w:eastAsia="en-US"/>
                    </w:rPr>
                    <w:t>Crosstalk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236500">
                    <w:rPr>
                      <w:iCs/>
                      <w:lang w:eastAsia="en-US"/>
                    </w:rPr>
                    <w:t>test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(взаимные влияния)</w:t>
                  </w:r>
                </w:p>
              </w:tc>
              <w:tc>
                <w:tcPr>
                  <w:tcW w:w="2776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&gt; 110 дБ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6123" w:type="dxa"/>
                  <w:gridSpan w:val="4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Топографо-геодезические работы</w:t>
                  </w:r>
                </w:p>
              </w:tc>
            </w:tr>
            <w:tr w:rsidR="00236500" w:rsidRPr="00236500" w:rsidTr="00236500">
              <w:trPr>
                <w:jc w:val="center"/>
              </w:trPr>
              <w:tc>
                <w:tcPr>
                  <w:tcW w:w="2213" w:type="dxa"/>
                  <w:gridSpan w:val="2"/>
                  <w:vMerge w:val="restart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 xml:space="preserve">Средняя </w:t>
                  </w:r>
                  <w:proofErr w:type="spellStart"/>
                  <w:r w:rsidRPr="00236500">
                    <w:rPr>
                      <w:iCs/>
                      <w:lang w:eastAsia="en-US"/>
                    </w:rPr>
                    <w:t>квадратическая</w:t>
                  </w:r>
                  <w:proofErr w:type="spellEnd"/>
                  <w:r w:rsidRPr="00236500">
                    <w:rPr>
                      <w:iCs/>
                      <w:lang w:eastAsia="en-US"/>
                    </w:rPr>
                    <w:t xml:space="preserve"> погрешность определения ПГН</w:t>
                  </w:r>
                </w:p>
              </w:tc>
              <w:tc>
                <w:tcPr>
                  <w:tcW w:w="1134" w:type="dxa"/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планова</w:t>
                  </w:r>
                </w:p>
              </w:tc>
              <w:tc>
                <w:tcPr>
                  <w:tcW w:w="2776" w:type="dxa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 xml:space="preserve">&lt; </w:t>
                  </w:r>
                  <w:r w:rsidRPr="00236500">
                    <w:rPr>
                      <w:iCs/>
                      <w:lang w:eastAsia="en-US"/>
                    </w:rPr>
                    <w:t xml:space="preserve">± </w:t>
                  </w:r>
                  <w:smartTag w:uri="urn:schemas-microsoft-com:office:smarttags" w:element="metricconverter">
                    <w:smartTagPr>
                      <w:attr w:name="ProductID" w:val="1 м"/>
                    </w:smartTagPr>
                    <w:r w:rsidRPr="00236500">
                      <w:rPr>
                        <w:iCs/>
                        <w:lang w:eastAsia="en-US"/>
                      </w:rPr>
                      <w:t>1 м</w:t>
                    </w:r>
                  </w:smartTag>
                </w:p>
              </w:tc>
            </w:tr>
            <w:tr w:rsidR="00236500" w:rsidRPr="00236500" w:rsidTr="00236500">
              <w:trPr>
                <w:trHeight w:val="330"/>
                <w:jc w:val="center"/>
              </w:trPr>
              <w:tc>
                <w:tcPr>
                  <w:tcW w:w="2213" w:type="dxa"/>
                  <w:gridSpan w:val="2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высотная</w:t>
                  </w:r>
                </w:p>
              </w:tc>
              <w:tc>
                <w:tcPr>
                  <w:tcW w:w="2776" w:type="dxa"/>
                  <w:tcBorders>
                    <w:bottom w:val="single" w:sz="4" w:space="0" w:color="000000"/>
                  </w:tcBorders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 xml:space="preserve">&lt; ± </w:t>
                  </w:r>
                  <w:smartTag w:uri="urn:schemas-microsoft-com:office:smarttags" w:element="metricconverter">
                    <w:smartTagPr>
                      <w:attr w:name="ProductID" w:val="1 м"/>
                    </w:smartTagPr>
                    <w:r w:rsidRPr="00236500">
                      <w:rPr>
                        <w:iCs/>
                        <w:lang w:eastAsia="en-US"/>
                      </w:rPr>
                      <w:t>1 м</w:t>
                    </w:r>
                  </w:smartTag>
                </w:p>
              </w:tc>
            </w:tr>
            <w:tr w:rsidR="00236500" w:rsidRPr="00236500" w:rsidTr="00236500">
              <w:trPr>
                <w:trHeight w:val="264"/>
                <w:jc w:val="center"/>
              </w:trPr>
              <w:tc>
                <w:tcPr>
                  <w:tcW w:w="334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eastAsia="en-US"/>
                    </w:rPr>
                    <w:t>Количество контрольных измерений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6500" w:rsidRPr="00236500" w:rsidRDefault="00236500" w:rsidP="00236500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236500">
                    <w:rPr>
                      <w:iCs/>
                      <w:lang w:val="en-US" w:eastAsia="en-US"/>
                    </w:rPr>
                    <w:t>&gt; 5%</w:t>
                  </w:r>
                </w:p>
              </w:tc>
            </w:tr>
          </w:tbl>
          <w:p w:rsidR="00236500" w:rsidRPr="00236500" w:rsidRDefault="00236500" w:rsidP="00DA5932"/>
        </w:tc>
      </w:tr>
      <w:tr w:rsidR="00236500" w:rsidRPr="00236500" w:rsidTr="004A1612">
        <w:tc>
          <w:tcPr>
            <w:tcW w:w="2235" w:type="dxa"/>
            <w:shd w:val="clear" w:color="auto" w:fill="auto"/>
          </w:tcPr>
          <w:p w:rsidR="00236500" w:rsidRPr="00236500" w:rsidRDefault="00236500" w:rsidP="00236500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rPr>
                <w:szCs w:val="24"/>
              </w:rPr>
              <w:lastRenderedPageBreak/>
              <w:t>Основные геологические задачи</w:t>
            </w:r>
          </w:p>
        </w:tc>
        <w:tc>
          <w:tcPr>
            <w:tcW w:w="7484" w:type="dxa"/>
            <w:shd w:val="clear" w:color="auto" w:fill="auto"/>
          </w:tcPr>
          <w:p w:rsidR="00236500" w:rsidRPr="00FE3357" w:rsidRDefault="00236500" w:rsidP="00236500">
            <w:pPr>
              <w:rPr>
                <w:szCs w:val="24"/>
              </w:rPr>
            </w:pPr>
            <w:r w:rsidRPr="00FE3357">
              <w:rPr>
                <w:bCs/>
                <w:iCs/>
                <w:szCs w:val="24"/>
              </w:rPr>
              <w:t xml:space="preserve">- проведение сейсморазведочных исследований МОГТ-3Д </w:t>
            </w:r>
            <w:r w:rsidRPr="00FE3357">
              <w:rPr>
                <w:bCs/>
                <w:szCs w:val="24"/>
              </w:rPr>
              <w:t xml:space="preserve">в пределах юго-восточной части </w:t>
            </w:r>
            <w:proofErr w:type="spellStart"/>
            <w:r w:rsidRPr="00FE3357">
              <w:rPr>
                <w:bCs/>
                <w:szCs w:val="24"/>
              </w:rPr>
              <w:t>Иргизского</w:t>
            </w:r>
            <w:proofErr w:type="spellEnd"/>
            <w:r w:rsidRPr="00FE3357">
              <w:rPr>
                <w:bCs/>
                <w:szCs w:val="24"/>
              </w:rPr>
              <w:t xml:space="preserve"> лицензионного участка </w:t>
            </w:r>
            <w:r w:rsidRPr="00FE3357">
              <w:rPr>
                <w:szCs w:val="24"/>
              </w:rPr>
              <w:t>ООО «</w:t>
            </w:r>
            <w:proofErr w:type="spellStart"/>
            <w:r w:rsidRPr="00FE3357">
              <w:rPr>
                <w:szCs w:val="24"/>
              </w:rPr>
              <w:t>ЮКОЛА-нефть</w:t>
            </w:r>
            <w:proofErr w:type="spellEnd"/>
            <w:r w:rsidRPr="00FE3357">
              <w:rPr>
                <w:szCs w:val="24"/>
              </w:rPr>
              <w:t>» в общем</w:t>
            </w:r>
            <w:r w:rsidRPr="00FE3357">
              <w:rPr>
                <w:bCs/>
                <w:iCs/>
                <w:szCs w:val="24"/>
              </w:rPr>
              <w:t xml:space="preserve"> объеме 28,8 км</w:t>
            </w:r>
            <w:r w:rsidRPr="00FE3357">
              <w:rPr>
                <w:bCs/>
                <w:iCs/>
                <w:szCs w:val="24"/>
                <w:vertAlign w:val="superscript"/>
              </w:rPr>
              <w:t>2</w:t>
            </w:r>
            <w:r w:rsidRPr="00FE3357">
              <w:rPr>
                <w:bCs/>
                <w:iCs/>
                <w:szCs w:val="24"/>
              </w:rPr>
              <w:t xml:space="preserve"> и работ по изучению </w:t>
            </w:r>
            <w:r w:rsidRPr="00FE3357">
              <w:rPr>
                <w:bCs/>
                <w:szCs w:val="24"/>
              </w:rPr>
              <w:t xml:space="preserve">верхней части разреза методом </w:t>
            </w:r>
            <w:proofErr w:type="gramStart"/>
            <w:r w:rsidRPr="00FE3357">
              <w:rPr>
                <w:bCs/>
                <w:szCs w:val="24"/>
              </w:rPr>
              <w:t>МСК</w:t>
            </w:r>
            <w:proofErr w:type="gramEnd"/>
            <w:r w:rsidRPr="00FE3357">
              <w:rPr>
                <w:bCs/>
                <w:szCs w:val="24"/>
              </w:rPr>
              <w:t xml:space="preserve"> с плотностью исследований 1 скважина на 1 км</w:t>
            </w:r>
            <w:r w:rsidRPr="00FE3357">
              <w:rPr>
                <w:bCs/>
                <w:szCs w:val="24"/>
                <w:vertAlign w:val="superscript"/>
              </w:rPr>
              <w:t>2</w:t>
            </w:r>
            <w:r w:rsidRPr="00FE3357">
              <w:rPr>
                <w:bCs/>
                <w:szCs w:val="24"/>
              </w:rPr>
              <w:t xml:space="preserve">. </w:t>
            </w:r>
            <w:r w:rsidRPr="00FE3357">
              <w:rPr>
                <w:szCs w:val="24"/>
              </w:rPr>
              <w:t xml:space="preserve">Работы проводятся </w:t>
            </w:r>
            <w:r w:rsidRPr="00FE3357">
              <w:rPr>
                <w:bCs/>
                <w:iCs/>
                <w:szCs w:val="24"/>
              </w:rPr>
              <w:t>для обеспечения картирования основных отражающих горизонтов в каменноугольном и девонском комплексах отложений</w:t>
            </w:r>
            <w:r w:rsidRPr="00FE3357">
              <w:rPr>
                <w:szCs w:val="24"/>
              </w:rPr>
              <w:t>;</w:t>
            </w:r>
          </w:p>
          <w:p w:rsidR="00236500" w:rsidRPr="00FE3357" w:rsidRDefault="00236500" w:rsidP="00236500">
            <w:pPr>
              <w:shd w:val="clear" w:color="auto" w:fill="FFFFFF"/>
              <w:rPr>
                <w:szCs w:val="24"/>
              </w:rPr>
            </w:pPr>
            <w:r w:rsidRPr="00FE3357">
              <w:rPr>
                <w:szCs w:val="24"/>
              </w:rPr>
              <w:t xml:space="preserve">- детализация геологического строения </w:t>
            </w:r>
            <w:r w:rsidRPr="00FE3357">
              <w:rPr>
                <w:bCs/>
                <w:szCs w:val="24"/>
              </w:rPr>
              <w:t xml:space="preserve">территории юго-восточной части </w:t>
            </w:r>
            <w:proofErr w:type="spellStart"/>
            <w:r w:rsidRPr="00FE3357">
              <w:rPr>
                <w:bCs/>
                <w:szCs w:val="24"/>
              </w:rPr>
              <w:t>Иргизского</w:t>
            </w:r>
            <w:proofErr w:type="spellEnd"/>
            <w:r w:rsidRPr="00FE3357">
              <w:rPr>
                <w:bCs/>
                <w:szCs w:val="24"/>
              </w:rPr>
              <w:t xml:space="preserve"> лицензионного участка </w:t>
            </w:r>
            <w:r w:rsidRPr="00FE3357">
              <w:rPr>
                <w:szCs w:val="24"/>
              </w:rPr>
              <w:t>ООО «</w:t>
            </w:r>
            <w:proofErr w:type="spellStart"/>
            <w:r w:rsidRPr="00FE3357">
              <w:rPr>
                <w:szCs w:val="24"/>
              </w:rPr>
              <w:t>ЮКОЛА-нефть</w:t>
            </w:r>
            <w:proofErr w:type="spellEnd"/>
            <w:r w:rsidRPr="00FE3357">
              <w:rPr>
                <w:szCs w:val="24"/>
              </w:rPr>
              <w:t>», по отложениям каменноугольной и девонской систем;</w:t>
            </w:r>
          </w:p>
          <w:p w:rsidR="00236500" w:rsidRPr="00FE3357" w:rsidRDefault="00236500" w:rsidP="00236500">
            <w:pPr>
              <w:shd w:val="clear" w:color="auto" w:fill="FFFFFF"/>
              <w:rPr>
                <w:szCs w:val="24"/>
              </w:rPr>
            </w:pPr>
            <w:r w:rsidRPr="00FE3357">
              <w:rPr>
                <w:bCs/>
                <w:iCs/>
                <w:szCs w:val="24"/>
              </w:rPr>
              <w:t xml:space="preserve">- построение структурных карт по опорным и целевым отражающим горизонтам: </w:t>
            </w:r>
            <w:proofErr w:type="spellStart"/>
            <w:r w:rsidRPr="00FE3357">
              <w:rPr>
                <w:szCs w:val="24"/>
              </w:rPr>
              <w:t>Pz</w:t>
            </w:r>
            <w:proofErr w:type="spellEnd"/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2</w:t>
            </w:r>
            <w:r w:rsidRPr="00FE3357">
              <w:rPr>
                <w:szCs w:val="24"/>
                <w:vertAlign w:val="superscript"/>
                <w:lang w:val="en-US"/>
              </w:rPr>
              <w:t>k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2</w:t>
            </w:r>
            <w:r w:rsidRPr="00FE3357">
              <w:rPr>
                <w:szCs w:val="24"/>
                <w:vertAlign w:val="superscript"/>
              </w:rPr>
              <w:t>mk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</w:rPr>
              <w:t>al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</w:rPr>
              <w:t>bb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  <w:lang w:val="en-US"/>
              </w:rPr>
              <w:t>up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D</w:t>
            </w:r>
            <w:r w:rsidRPr="00FE3357">
              <w:rPr>
                <w:szCs w:val="24"/>
                <w:vertAlign w:val="subscript"/>
              </w:rPr>
              <w:t>3</w:t>
            </w:r>
            <w:r w:rsidRPr="00FE3357">
              <w:rPr>
                <w:szCs w:val="24"/>
                <w:vertAlign w:val="superscript"/>
              </w:rPr>
              <w:t>sr</w:t>
            </w:r>
            <w:r w:rsidRPr="00FE3357">
              <w:rPr>
                <w:szCs w:val="24"/>
              </w:rPr>
              <w:t>, Ф (по возможности);</w:t>
            </w:r>
          </w:p>
          <w:p w:rsidR="00236500" w:rsidRPr="00FE3357" w:rsidRDefault="00236500" w:rsidP="00236500">
            <w:pPr>
              <w:shd w:val="clear" w:color="auto" w:fill="FFFFFF"/>
              <w:rPr>
                <w:bCs/>
                <w:iCs/>
                <w:szCs w:val="24"/>
              </w:rPr>
            </w:pPr>
            <w:r w:rsidRPr="00FE3357">
              <w:rPr>
                <w:bCs/>
                <w:iCs/>
                <w:szCs w:val="24"/>
              </w:rPr>
              <w:t xml:space="preserve">- выявление и геометризация </w:t>
            </w:r>
            <w:proofErr w:type="spellStart"/>
            <w:r w:rsidRPr="00FE3357">
              <w:rPr>
                <w:bCs/>
                <w:iCs/>
                <w:szCs w:val="24"/>
              </w:rPr>
              <w:t>нефтегазоперспективных</w:t>
            </w:r>
            <w:proofErr w:type="spellEnd"/>
            <w:r w:rsidRPr="00FE3357">
              <w:rPr>
                <w:bCs/>
                <w:iCs/>
                <w:szCs w:val="24"/>
              </w:rPr>
              <w:t xml:space="preserve"> объектов в каменноугольном и девонском комплексах отложений, подготовка паспортов на объекты, подготовленные к поисково-оценочному бурению.</w:t>
            </w:r>
          </w:p>
          <w:p w:rsidR="00236500" w:rsidRPr="00236500" w:rsidRDefault="00236500" w:rsidP="00236500">
            <w:pPr>
              <w:tabs>
                <w:tab w:val="left" w:pos="0"/>
              </w:tabs>
              <w:jc w:val="both"/>
              <w:rPr>
                <w:b/>
                <w:i/>
              </w:rPr>
            </w:pPr>
          </w:p>
        </w:tc>
      </w:tr>
      <w:tr w:rsidR="00236500" w:rsidRPr="00236500" w:rsidTr="004A1612">
        <w:tc>
          <w:tcPr>
            <w:tcW w:w="2235" w:type="dxa"/>
            <w:shd w:val="clear" w:color="auto" w:fill="auto"/>
          </w:tcPr>
          <w:p w:rsidR="00236500" w:rsidRPr="004A1612" w:rsidRDefault="00236500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t>Последовательность решения геологических задач</w:t>
            </w:r>
          </w:p>
        </w:tc>
        <w:tc>
          <w:tcPr>
            <w:tcW w:w="7484" w:type="dxa"/>
            <w:shd w:val="clear" w:color="auto" w:fill="auto"/>
          </w:tcPr>
          <w:p w:rsidR="00236500" w:rsidRPr="00FE3357" w:rsidRDefault="00236500" w:rsidP="00236500">
            <w:pPr>
              <w:contextualSpacing/>
              <w:rPr>
                <w:szCs w:val="24"/>
              </w:rPr>
            </w:pPr>
            <w:r w:rsidRPr="00FE3357">
              <w:rPr>
                <w:iCs/>
                <w:szCs w:val="24"/>
              </w:rPr>
              <w:t>- анализ имеющегося геолого-геофизического материала;</w:t>
            </w:r>
          </w:p>
          <w:p w:rsidR="00236500" w:rsidRPr="00FE3357" w:rsidRDefault="00236500" w:rsidP="00236500">
            <w:pPr>
              <w:contextualSpacing/>
              <w:rPr>
                <w:szCs w:val="24"/>
              </w:rPr>
            </w:pPr>
            <w:r w:rsidRPr="00FE3357">
              <w:rPr>
                <w:szCs w:val="24"/>
              </w:rPr>
              <w:t>- выполнение полевых сейсморазведочных работ МОГТ-3Д в объеме 28,8 км</w:t>
            </w:r>
            <w:r w:rsidRPr="00FE3357">
              <w:rPr>
                <w:szCs w:val="24"/>
                <w:vertAlign w:val="superscript"/>
              </w:rPr>
              <w:t>2</w:t>
            </w:r>
            <w:r w:rsidRPr="00FE3357">
              <w:rPr>
                <w:szCs w:val="24"/>
              </w:rPr>
              <w:t xml:space="preserve">, изучение ВЧР методом </w:t>
            </w:r>
            <w:proofErr w:type="gramStart"/>
            <w:r w:rsidRPr="00FE3357">
              <w:rPr>
                <w:szCs w:val="24"/>
              </w:rPr>
              <w:t>МСК</w:t>
            </w:r>
            <w:proofErr w:type="gramEnd"/>
            <w:r w:rsidRPr="00FE3357">
              <w:rPr>
                <w:szCs w:val="24"/>
              </w:rPr>
              <w:t xml:space="preserve"> со средним шагом 1 </w:t>
            </w:r>
            <w:proofErr w:type="spellStart"/>
            <w:r w:rsidRPr="00FE3357">
              <w:rPr>
                <w:szCs w:val="24"/>
              </w:rPr>
              <w:t>скв</w:t>
            </w:r>
            <w:proofErr w:type="spellEnd"/>
            <w:r w:rsidRPr="00FE3357">
              <w:rPr>
                <w:szCs w:val="24"/>
              </w:rPr>
              <w:t>. на 1 км</w:t>
            </w:r>
            <w:r w:rsidRPr="00FE3357">
              <w:rPr>
                <w:szCs w:val="24"/>
                <w:vertAlign w:val="superscript"/>
              </w:rPr>
              <w:t>2</w:t>
            </w:r>
            <w:r w:rsidRPr="00FE3357">
              <w:rPr>
                <w:szCs w:val="24"/>
              </w:rPr>
              <w:t>;</w:t>
            </w:r>
          </w:p>
          <w:p w:rsidR="00236500" w:rsidRPr="00236500" w:rsidRDefault="00236500" w:rsidP="00236500">
            <w:pPr>
              <w:rPr>
                <w:szCs w:val="24"/>
              </w:rPr>
            </w:pPr>
            <w:r w:rsidRPr="00FE3357">
              <w:rPr>
                <w:szCs w:val="24"/>
              </w:rPr>
              <w:t>- проведение обработки и интерпретации сейсмических данных МОГТ-3Д в объёме 28,8 км</w:t>
            </w:r>
            <w:proofErr w:type="gramStart"/>
            <w:r w:rsidRPr="00FE3357">
              <w:rPr>
                <w:szCs w:val="24"/>
                <w:vertAlign w:val="superscript"/>
              </w:rPr>
              <w:t>2</w:t>
            </w:r>
            <w:proofErr w:type="gramEnd"/>
            <w:r w:rsidRPr="00FE3357">
              <w:rPr>
                <w:szCs w:val="24"/>
              </w:rPr>
              <w:t xml:space="preserve"> в пределах </w:t>
            </w:r>
            <w:proofErr w:type="spellStart"/>
            <w:r w:rsidRPr="00FE3357">
              <w:rPr>
                <w:szCs w:val="24"/>
              </w:rPr>
              <w:t>Иргизского</w:t>
            </w:r>
            <w:proofErr w:type="spellEnd"/>
            <w:r w:rsidRPr="00FE3357">
              <w:rPr>
                <w:szCs w:val="24"/>
              </w:rPr>
              <w:t xml:space="preserve"> лицензионного участка с выдачей заключительного отчета и паспортов на подготовленные объекты.</w:t>
            </w:r>
          </w:p>
        </w:tc>
      </w:tr>
      <w:tr w:rsidR="00236500" w:rsidRPr="00236500" w:rsidTr="0029272E">
        <w:trPr>
          <w:trHeight w:val="1410"/>
        </w:trPr>
        <w:tc>
          <w:tcPr>
            <w:tcW w:w="2235" w:type="dxa"/>
            <w:shd w:val="clear" w:color="auto" w:fill="auto"/>
          </w:tcPr>
          <w:p w:rsidR="00236500" w:rsidRPr="004A1612" w:rsidRDefault="00DA593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t>Методы решения геологических задач</w:t>
            </w:r>
          </w:p>
        </w:tc>
        <w:tc>
          <w:tcPr>
            <w:tcW w:w="7484" w:type="dxa"/>
            <w:shd w:val="clear" w:color="auto" w:fill="auto"/>
          </w:tcPr>
          <w:p w:rsidR="00DA5932" w:rsidRPr="00FE3357" w:rsidRDefault="00DA5932" w:rsidP="004A1612">
            <w:pPr>
              <w:ind w:right="176"/>
              <w:jc w:val="both"/>
              <w:rPr>
                <w:b/>
                <w:i/>
                <w:szCs w:val="24"/>
              </w:rPr>
            </w:pPr>
            <w:r w:rsidRPr="00FE3357">
              <w:rPr>
                <w:b/>
                <w:i/>
                <w:szCs w:val="24"/>
              </w:rPr>
              <w:t>Полевые сейсморазведочные работы</w:t>
            </w:r>
          </w:p>
          <w:p w:rsidR="0029272E" w:rsidRDefault="00DA5932" w:rsidP="004A1612">
            <w:pPr>
              <w:pStyle w:val="ab"/>
              <w:tabs>
                <w:tab w:val="left" w:pos="0"/>
                <w:tab w:val="left" w:pos="9480"/>
              </w:tabs>
              <w:ind w:right="176"/>
              <w:jc w:val="both"/>
              <w:rPr>
                <w:szCs w:val="24"/>
              </w:rPr>
            </w:pPr>
            <w:r w:rsidRPr="00FE3357">
              <w:rPr>
                <w:szCs w:val="24"/>
              </w:rPr>
              <w:t>Выполнить сейсморазведочные работы МОГТ-3Д в объёме 28,8 км</w:t>
            </w:r>
            <w:proofErr w:type="gramStart"/>
            <w:r w:rsidRPr="00FE3357">
              <w:rPr>
                <w:szCs w:val="24"/>
                <w:vertAlign w:val="superscript"/>
              </w:rPr>
              <w:t>2</w:t>
            </w:r>
            <w:proofErr w:type="gramEnd"/>
            <w:r w:rsidRPr="00FE3357">
              <w:rPr>
                <w:szCs w:val="24"/>
              </w:rPr>
              <w:t xml:space="preserve"> (по крайним пунктам возбуждения и приема) с использованием центральной системы наблюдений типа «крест».</w:t>
            </w:r>
          </w:p>
          <w:tbl>
            <w:tblPr>
              <w:tblW w:w="64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2"/>
              <w:gridCol w:w="3376"/>
            </w:tblGrid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 Сейсморазведочные работы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1.1. Вид работ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МОВ ОГТ 3Д, система «Крест»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1.2. Объёмы работ 3Д: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размеры площади работ, км</w:t>
                  </w:r>
                  <w:proofErr w:type="gramStart"/>
                  <w:r w:rsidRPr="00FE3357">
                    <w:rPr>
                      <w:szCs w:val="24"/>
                      <w:vertAlign w:val="superscript"/>
                    </w:rPr>
                    <w:t>2</w:t>
                  </w:r>
                  <w:proofErr w:type="gramEnd"/>
                  <w:r w:rsidRPr="00FE3357">
                    <w:rPr>
                      <w:szCs w:val="24"/>
                    </w:rPr>
                    <w:t>:</w:t>
                  </w:r>
                </w:p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lastRenderedPageBreak/>
                    <w:t xml:space="preserve"> по контуру ПВ и ПП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</w:p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lastRenderedPageBreak/>
                    <w:t>28,80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</w:rPr>
                    <w:lastRenderedPageBreak/>
                    <w:t>- количество ЛВ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97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общая длина ЛВ, км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286.15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tcBorders>
                    <w:bottom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количество ЛП</w:t>
                  </w:r>
                </w:p>
              </w:tc>
              <w:tc>
                <w:tcPr>
                  <w:tcW w:w="3376" w:type="dxa"/>
                  <w:tcBorders>
                    <w:bottom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16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</w:rPr>
                    <w:t>- общая длина ЛП, км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153.20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кол-во ПВ без учёта эксклюзивных зон (</w:t>
                  </w:r>
                  <w:proofErr w:type="spellStart"/>
                  <w:r w:rsidRPr="00FE3357">
                    <w:rPr>
                      <w:szCs w:val="24"/>
                    </w:rPr>
                    <w:t>ф.н</w:t>
                  </w:r>
                  <w:proofErr w:type="spellEnd"/>
                  <w:r w:rsidRPr="00FE3357">
                    <w:rPr>
                      <w:szCs w:val="24"/>
                    </w:rPr>
                    <w:t>.)/плотность без учёта эксклюзивных зон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5820/202.08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кол-во ПП / плотность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6144/213.33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кол-во трасс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8337408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1.3. Параметры регистрации: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система сбора и регистрации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090C6A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Телеметрическая система </w:t>
                  </w:r>
                  <w:proofErr w:type="spellStart"/>
                  <w:r w:rsidRPr="00FE3357">
                    <w:rPr>
                      <w:szCs w:val="24"/>
                      <w:lang w:val="en-US"/>
                    </w:rPr>
                    <w:t>Sercel</w:t>
                  </w:r>
                  <w:proofErr w:type="spellEnd"/>
                  <w:r w:rsidRPr="00FE3357">
                    <w:rPr>
                      <w:szCs w:val="24"/>
                    </w:rPr>
                    <w:t xml:space="preserve"> 428</w:t>
                  </w:r>
                  <w:r w:rsidRPr="00FE3357">
                    <w:rPr>
                      <w:szCs w:val="24"/>
                      <w:lang w:val="en-US"/>
                    </w:rPr>
                    <w:t>XL</w:t>
                  </w:r>
                  <w:r w:rsidR="00090C6A">
                    <w:rPr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тип питания полевых блоков 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По кабелю от аккумуляторов блоков питания </w:t>
                  </w:r>
                  <w:r w:rsidRPr="00FE3357">
                    <w:rPr>
                      <w:szCs w:val="24"/>
                      <w:lang w:val="en-US"/>
                    </w:rPr>
                    <w:t>LAUL</w:t>
                  </w:r>
                  <w:r w:rsidRPr="00FE3357">
                    <w:rPr>
                      <w:szCs w:val="24"/>
                    </w:rPr>
                    <w:t xml:space="preserve"> и </w:t>
                  </w:r>
                  <w:r w:rsidRPr="00FE3357">
                    <w:rPr>
                      <w:szCs w:val="24"/>
                      <w:lang w:val="en-US"/>
                    </w:rPr>
                    <w:t>LAUX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носители информации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</w:rPr>
                    <w:t xml:space="preserve">Формат </w:t>
                  </w:r>
                  <w:r w:rsidRPr="00FE3357">
                    <w:rPr>
                      <w:szCs w:val="24"/>
                      <w:lang w:val="en-US"/>
                    </w:rPr>
                    <w:t>SEG</w:t>
                  </w:r>
                  <w:r w:rsidRPr="00FE3357">
                    <w:rPr>
                      <w:szCs w:val="24"/>
                    </w:rPr>
                    <w:t>-</w:t>
                  </w:r>
                  <w:r w:rsidRPr="00FE3357">
                    <w:rPr>
                      <w:szCs w:val="24"/>
                      <w:lang w:val="en-US"/>
                    </w:rPr>
                    <w:t>D</w:t>
                  </w:r>
                  <w:r w:rsidRPr="00FE3357">
                    <w:rPr>
                      <w:szCs w:val="24"/>
                    </w:rPr>
                    <w:t xml:space="preserve"> 8058, </w:t>
                  </w:r>
                  <w:r w:rsidRPr="00FE3357">
                    <w:rPr>
                      <w:szCs w:val="24"/>
                      <w:lang w:val="en-US"/>
                    </w:rPr>
                    <w:t>HDD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разрядность АЦП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24 (23+ знак)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длина регистрации/записи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15</w:t>
                  </w:r>
                  <w:r w:rsidRPr="00FE3357">
                    <w:rPr>
                      <w:szCs w:val="24"/>
                      <w:lang w:val="en-US"/>
                    </w:rPr>
                    <w:t xml:space="preserve"> c</w:t>
                  </w:r>
                  <w:r w:rsidRPr="00FE3357">
                    <w:rPr>
                      <w:szCs w:val="24"/>
                    </w:rPr>
                    <w:t xml:space="preserve"> – виброграмма/3 с - </w:t>
                  </w:r>
                  <w:proofErr w:type="spellStart"/>
                  <w:r w:rsidRPr="00FE3357">
                    <w:rPr>
                      <w:szCs w:val="24"/>
                    </w:rPr>
                    <w:t>коррелограмма</w:t>
                  </w:r>
                  <w:proofErr w:type="spellEnd"/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шаг дискретизации, </w:t>
                  </w:r>
                  <w:proofErr w:type="spellStart"/>
                  <w:r w:rsidRPr="00FE3357">
                    <w:rPr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ФВЧ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открытый канал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</w:t>
                  </w:r>
                  <w:proofErr w:type="spellStart"/>
                  <w:r w:rsidRPr="00FE3357">
                    <w:rPr>
                      <w:szCs w:val="24"/>
                    </w:rPr>
                    <w:t>режекторная</w:t>
                  </w:r>
                  <w:proofErr w:type="spellEnd"/>
                  <w:r w:rsidRPr="00FE3357">
                    <w:rPr>
                      <w:szCs w:val="24"/>
                    </w:rPr>
                    <w:t xml:space="preserve"> фильтрация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выкл.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</w:t>
                  </w:r>
                  <w:proofErr w:type="spellStart"/>
                  <w:r w:rsidRPr="00FE3357">
                    <w:rPr>
                      <w:szCs w:val="24"/>
                    </w:rPr>
                    <w:t>антиаляйсинг</w:t>
                  </w:r>
                  <w:proofErr w:type="spell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0,8 частоты Найквиста, </w:t>
                  </w:r>
                  <w:proofErr w:type="gramStart"/>
                  <w:r w:rsidRPr="00FE3357">
                    <w:rPr>
                      <w:szCs w:val="24"/>
                    </w:rPr>
                    <w:t>линейно-фазовый</w:t>
                  </w:r>
                  <w:proofErr w:type="gramEnd"/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редакция помех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Выкл.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алгоритм преобразования записей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корреляция виброграмм – суммирование (</w:t>
                  </w:r>
                  <w:proofErr w:type="spellStart"/>
                  <w:r w:rsidRPr="00FE3357">
                    <w:rPr>
                      <w:szCs w:val="24"/>
                      <w:lang w:val="en-US"/>
                    </w:rPr>
                    <w:t>correlbeforestack</w:t>
                  </w:r>
                  <w:proofErr w:type="spellEnd"/>
                  <w:r w:rsidRPr="00FE3357">
                    <w:rPr>
                      <w:szCs w:val="24"/>
                    </w:rPr>
                    <w:t>)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1.4. Методика наблюдения: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система наблюдения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центральная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расстояние между ЛП,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200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расстояние между ПП,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25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расстояние между ЛВ,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100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расстояние между ПВ,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  <w:lang w:val="en-US"/>
                    </w:rPr>
                    <w:t>50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кол-во ЛП в полосе отработки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>1</w:t>
                  </w:r>
                  <w:r w:rsidRPr="00FE3357">
                    <w:rPr>
                      <w:szCs w:val="24"/>
                    </w:rPr>
                    <w:t>6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кол-во ПВ на ЛВ для фиксированной расстановки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  <w:lang w:val="en-US"/>
                    </w:rPr>
                    <w:t>4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 xml:space="preserve">- </w:t>
                  </w:r>
                  <w:r w:rsidRPr="00FE3357">
                    <w:rPr>
                      <w:szCs w:val="24"/>
                    </w:rPr>
                    <w:t>ближайшие к ЛВ каналы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64, 65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расстановка активных каналов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>max</w:t>
                  </w:r>
                  <w:r w:rsidRPr="00FE3357">
                    <w:rPr>
                      <w:szCs w:val="24"/>
                    </w:rPr>
                    <w:t xml:space="preserve"> 16ЛПх128 - 2048 каналов, </w:t>
                  </w:r>
                  <w:r w:rsidRPr="00FE3357">
                    <w:rPr>
                      <w:szCs w:val="24"/>
                      <w:lang w:val="en-US"/>
                    </w:rPr>
                    <w:t>min</w:t>
                  </w:r>
                  <w:r w:rsidRPr="00FE3357">
                    <w:rPr>
                      <w:szCs w:val="24"/>
                    </w:rPr>
                    <w:t xml:space="preserve"> - 576 каналов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общая номинальная кратность 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256</w:t>
                  </w:r>
                  <w:r w:rsidRPr="00FE3357">
                    <w:rPr>
                      <w:szCs w:val="24"/>
                      <w:lang w:val="en-US"/>
                    </w:rPr>
                    <w:t xml:space="preserve">(min </w:t>
                  </w:r>
                  <w:r w:rsidRPr="00FE3357">
                    <w:rPr>
                      <w:szCs w:val="24"/>
                    </w:rPr>
                    <w:t xml:space="preserve">179в </w:t>
                  </w:r>
                  <w:proofErr w:type="spellStart"/>
                  <w:r w:rsidRPr="00FE3357">
                    <w:rPr>
                      <w:szCs w:val="24"/>
                    </w:rPr>
                    <w:t>полнократной</w:t>
                  </w:r>
                  <w:proofErr w:type="spellEnd"/>
                  <w:r w:rsidRPr="00FE3357">
                    <w:rPr>
                      <w:szCs w:val="24"/>
                    </w:rPr>
                    <w:t xml:space="preserve"> зоне)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тип сейсмоприёмников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>GS</w:t>
                  </w:r>
                  <w:r w:rsidRPr="00FE3357">
                    <w:rPr>
                      <w:szCs w:val="24"/>
                    </w:rPr>
                    <w:t>-20</w:t>
                  </w:r>
                  <w:r w:rsidRPr="00FE3357">
                    <w:rPr>
                      <w:szCs w:val="24"/>
                      <w:lang w:val="en-US"/>
                    </w:rPr>
                    <w:t>DX</w:t>
                  </w:r>
                  <w:r w:rsidRPr="00FE3357">
                    <w:rPr>
                      <w:szCs w:val="24"/>
                    </w:rPr>
                    <w:t xml:space="preserve"> (10 Гц)</w:t>
                  </w:r>
                  <w:r w:rsidR="000F22E3">
                    <w:rPr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 xml:space="preserve">- </w:t>
                  </w:r>
                  <w:r w:rsidRPr="00FE3357">
                    <w:rPr>
                      <w:szCs w:val="24"/>
                    </w:rPr>
                    <w:t>расстояние взрыв-прибор,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  <w:lang w:val="en-US"/>
                    </w:rPr>
                    <w:t>min 27.95</w:t>
                  </w:r>
                </w:p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  <w:lang w:val="en-US"/>
                    </w:rPr>
                    <w:t>max 2236.24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число сейсмоприёмников на канал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12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база группы сейсмоприёмников, </w:t>
                  </w:r>
                  <w:proofErr w:type="gramStart"/>
                  <w:r w:rsidRPr="00FE3357">
                    <w:rPr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25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расстояние </w:t>
                  </w:r>
                  <w:r w:rsidR="0029272E">
                    <w:rPr>
                      <w:szCs w:val="24"/>
                    </w:rPr>
                    <w:t xml:space="preserve">между </w:t>
                  </w:r>
                  <w:proofErr w:type="gramStart"/>
                  <w:r w:rsidR="0029272E">
                    <w:rPr>
                      <w:szCs w:val="24"/>
                    </w:rPr>
                    <w:t>сейсмоприёмника-ми</w:t>
                  </w:r>
                  <w:proofErr w:type="gramEnd"/>
                  <w:r w:rsidR="0029272E">
                    <w:rPr>
                      <w:szCs w:val="24"/>
                    </w:rPr>
                    <w:t xml:space="preserve"> в групп</w:t>
                  </w:r>
                  <w:r w:rsidRPr="00FE3357">
                    <w:rPr>
                      <w:szCs w:val="24"/>
                    </w:rPr>
                    <w:t xml:space="preserve">е, 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2,27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вид группирования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линейно-продольный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tcBorders>
                    <w:bottom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способ соединения в группе</w:t>
                  </w:r>
                </w:p>
              </w:tc>
              <w:tc>
                <w:tcPr>
                  <w:tcW w:w="3376" w:type="dxa"/>
                  <w:tcBorders>
                    <w:bottom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последовательно-параллельный (6х2)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1.5. Источник сейсмической энергии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вид источника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вибрационный, групповой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модель вибраторов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>Nomad</w:t>
                  </w:r>
                  <w:r w:rsidRPr="00FE3357">
                    <w:rPr>
                      <w:szCs w:val="24"/>
                    </w:rPr>
                    <w:t>-65 (</w:t>
                  </w:r>
                  <w:proofErr w:type="spellStart"/>
                  <w:r w:rsidRPr="00FE3357">
                    <w:rPr>
                      <w:szCs w:val="24"/>
                      <w:lang w:val="en-US"/>
                    </w:rPr>
                    <w:t>Sercel</w:t>
                  </w:r>
                  <w:proofErr w:type="spellEnd"/>
                  <w:r w:rsidRPr="00FE3357">
                    <w:rPr>
                      <w:szCs w:val="24"/>
                    </w:rPr>
                    <w:t>)</w:t>
                  </w:r>
                  <w:r w:rsidR="00090C6A">
                    <w:rPr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  <w:lang w:val="en-US"/>
                    </w:rPr>
                    <w:t xml:space="preserve">- </w:t>
                  </w:r>
                  <w:r w:rsidRPr="00FE3357">
                    <w:rPr>
                      <w:szCs w:val="24"/>
                    </w:rPr>
                    <w:t xml:space="preserve">количество </w:t>
                  </w:r>
                  <w:proofErr w:type="spellStart"/>
                  <w:r w:rsidRPr="00FE3357">
                    <w:rPr>
                      <w:szCs w:val="24"/>
                    </w:rPr>
                    <w:t>виброустановок</w:t>
                  </w:r>
                  <w:proofErr w:type="spell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</w:t>
                  </w:r>
                  <w:r w:rsidR="00090C6A">
                    <w:rPr>
                      <w:szCs w:val="24"/>
                    </w:rPr>
                    <w:t xml:space="preserve"> (</w:t>
                  </w:r>
                  <w:r w:rsidR="00B059AC">
                    <w:rPr>
                      <w:szCs w:val="24"/>
                    </w:rPr>
                    <w:t>+1) запасной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тип возбуждаемых волн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Р-волны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пиковое усилие </w:t>
                  </w:r>
                  <w:r w:rsidRPr="00FE3357">
                    <w:rPr>
                      <w:szCs w:val="24"/>
                      <w:lang w:val="en-US"/>
                    </w:rPr>
                    <w:t>F</w:t>
                  </w:r>
                  <w:r w:rsidRPr="00FE3357">
                    <w:rPr>
                      <w:szCs w:val="24"/>
                    </w:rPr>
                    <w:t xml:space="preserve"> (</w:t>
                  </w:r>
                  <w:proofErr w:type="spellStart"/>
                  <w:r w:rsidRPr="00FE3357">
                    <w:rPr>
                      <w:szCs w:val="24"/>
                      <w:lang w:val="en-US"/>
                    </w:rPr>
                    <w:t>kH</w:t>
                  </w:r>
                  <w:proofErr w:type="spellEnd"/>
                  <w:r w:rsidRPr="00FE3357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276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рабочее усилие % от </w:t>
                  </w:r>
                  <w:r w:rsidRPr="00FE3357">
                    <w:rPr>
                      <w:szCs w:val="24"/>
                      <w:lang w:val="en-US"/>
                    </w:rPr>
                    <w:t>F</w:t>
                  </w:r>
                  <w:r w:rsidRPr="00FE3357">
                    <w:rPr>
                      <w:szCs w:val="24"/>
                    </w:rPr>
                    <w:t xml:space="preserve">, режим 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70, «</w:t>
                  </w:r>
                  <w:proofErr w:type="spellStart"/>
                  <w:r w:rsidRPr="00FE3357">
                    <w:rPr>
                      <w:szCs w:val="24"/>
                    </w:rPr>
                    <w:t>граунд</w:t>
                  </w:r>
                  <w:proofErr w:type="spellEnd"/>
                  <w:r w:rsidRPr="00FE3357">
                    <w:rPr>
                      <w:szCs w:val="24"/>
                    </w:rPr>
                    <w:t xml:space="preserve"> </w:t>
                  </w:r>
                  <w:proofErr w:type="gramStart"/>
                  <w:r w:rsidRPr="00FE3357">
                    <w:rPr>
                      <w:szCs w:val="24"/>
                    </w:rPr>
                    <w:t>форс</w:t>
                  </w:r>
                  <w:proofErr w:type="gramEnd"/>
                  <w:r w:rsidRPr="00FE3357">
                    <w:rPr>
                      <w:szCs w:val="24"/>
                    </w:rPr>
                    <w:t>» (</w:t>
                  </w:r>
                  <w:r w:rsidRPr="00FE3357">
                    <w:rPr>
                      <w:szCs w:val="24"/>
                      <w:lang w:val="en-US"/>
                    </w:rPr>
                    <w:t>GF</w:t>
                  </w:r>
                  <w:r w:rsidRPr="00FE3357">
                    <w:rPr>
                      <w:szCs w:val="24"/>
                    </w:rPr>
                    <w:t>)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lastRenderedPageBreak/>
                    <w:t>- конфигурация группы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линейно-продольная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база вибраторов, </w:t>
                  </w:r>
                  <w:proofErr w:type="gramStart"/>
                  <w:r w:rsidRPr="00FE3357">
                    <w:rPr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25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1.6. Параметры вибросигнала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вид сигнала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194EA8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лине</w:t>
                  </w:r>
                  <w:r w:rsidR="00DA5932" w:rsidRPr="00FE3357">
                    <w:rPr>
                      <w:szCs w:val="24"/>
                    </w:rPr>
                    <w:t>йный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начальная частота, </w:t>
                  </w:r>
                  <w:proofErr w:type="gramStart"/>
                  <w:r w:rsidRPr="00FE3357">
                    <w:rPr>
                      <w:szCs w:val="24"/>
                    </w:rPr>
                    <w:t>Гц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7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конечная частота, </w:t>
                  </w:r>
                  <w:proofErr w:type="gramStart"/>
                  <w:r w:rsidRPr="00FE3357">
                    <w:rPr>
                      <w:szCs w:val="24"/>
                    </w:rPr>
                    <w:t>Гц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90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длительность, </w:t>
                  </w:r>
                  <w:proofErr w:type="gramStart"/>
                  <w:r w:rsidRPr="00FE3357">
                    <w:rPr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12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конусность, </w:t>
                  </w:r>
                  <w:proofErr w:type="gramStart"/>
                  <w:r w:rsidRPr="00FE3357">
                    <w:rPr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0,3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количество воздействий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1-2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начальная фаза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0°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система управления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B059AC" w:rsidRDefault="00DA5932" w:rsidP="00B059AC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proofErr w:type="spellStart"/>
                  <w:r w:rsidRPr="00FE3357">
                    <w:rPr>
                      <w:szCs w:val="24"/>
                      <w:lang w:val="en-US"/>
                    </w:rPr>
                    <w:t>Sercel</w:t>
                  </w:r>
                  <w:proofErr w:type="spellEnd"/>
                  <w:r w:rsidR="00B059AC">
                    <w:rPr>
                      <w:szCs w:val="24"/>
                    </w:rPr>
                    <w:t>428</w:t>
                  </w:r>
                  <w:r w:rsidR="00B059AC">
                    <w:rPr>
                      <w:szCs w:val="24"/>
                      <w:lang w:val="en-US"/>
                    </w:rPr>
                    <w:t>XL</w:t>
                  </w:r>
                  <w:r w:rsidR="00B059AC">
                    <w:rPr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  <w:lang w:val="en-US"/>
                    </w:rPr>
                  </w:pPr>
                  <w:r w:rsidRPr="00FE3357">
                    <w:rPr>
                      <w:b/>
                      <w:szCs w:val="24"/>
                    </w:rPr>
                    <w:t>2. Изучение верхней части разреза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методика работ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194EA8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микро</w:t>
                  </w:r>
                  <w:r w:rsidR="00DA5932" w:rsidRPr="00FE3357">
                    <w:rPr>
                      <w:szCs w:val="24"/>
                    </w:rPr>
                    <w:t>сейсмокаротажные</w:t>
                  </w:r>
                  <w:proofErr w:type="spellEnd"/>
                  <w:r w:rsidR="00DA5932" w:rsidRPr="00FE3357">
                    <w:rPr>
                      <w:szCs w:val="24"/>
                    </w:rPr>
                    <w:t xml:space="preserve"> работы по методике прямого каротажа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характеристика зонда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pacing w:val="-2"/>
                      <w:szCs w:val="24"/>
                    </w:rPr>
                  </w:pPr>
                  <w:proofErr w:type="spellStart"/>
                  <w:r w:rsidRPr="00FE3357">
                    <w:rPr>
                      <w:szCs w:val="24"/>
                    </w:rPr>
                    <w:t>одноприборный</w:t>
                  </w:r>
                  <w:proofErr w:type="spellEnd"/>
                  <w:r w:rsidRPr="00FE3357">
                    <w:rPr>
                      <w:szCs w:val="24"/>
                    </w:rPr>
                    <w:t xml:space="preserve"> зонд (6 сейсмических датчиков </w:t>
                  </w:r>
                  <w:r w:rsidRPr="00FE3357">
                    <w:rPr>
                      <w:szCs w:val="24"/>
                      <w:lang w:val="en-US"/>
                    </w:rPr>
                    <w:t>GS</w:t>
                  </w:r>
                  <w:r w:rsidRPr="00FE3357">
                    <w:rPr>
                      <w:szCs w:val="24"/>
                    </w:rPr>
                    <w:t>-20</w:t>
                  </w:r>
                  <w:r w:rsidRPr="00FE3357">
                    <w:rPr>
                      <w:szCs w:val="24"/>
                      <w:lang w:val="en-US"/>
                    </w:rPr>
                    <w:t>DX</w:t>
                  </w:r>
                  <w:r>
                    <w:rPr>
                      <w:szCs w:val="24"/>
                    </w:rPr>
                    <w:t>,</w:t>
                  </w:r>
                  <w:r w:rsidR="000F22E3">
                    <w:rPr>
                      <w:szCs w:val="24"/>
                    </w:rPr>
                    <w:t xml:space="preserve"> </w:t>
                  </w:r>
                  <w:r w:rsidRPr="00FE3357">
                    <w:rPr>
                      <w:szCs w:val="24"/>
                    </w:rPr>
                    <w:t>собра</w:t>
                  </w:r>
                  <w:r>
                    <w:rPr>
                      <w:szCs w:val="24"/>
                    </w:rPr>
                    <w:t>нных в един</w:t>
                  </w:r>
                  <w:bookmarkStart w:id="1" w:name="_GoBack"/>
                  <w:bookmarkEnd w:id="1"/>
                  <w:r>
                    <w:rPr>
                      <w:szCs w:val="24"/>
                    </w:rPr>
                    <w:t>ый приёмный элемент) диаметром 45</w:t>
                  </w:r>
                  <w:r w:rsidRPr="00FE3357">
                    <w:rPr>
                      <w:szCs w:val="24"/>
                    </w:rPr>
                    <w:t xml:space="preserve">мм с </w:t>
                  </w:r>
                  <w:r w:rsidRPr="00FE3357">
                    <w:rPr>
                      <w:spacing w:val="-2"/>
                      <w:szCs w:val="24"/>
                    </w:rPr>
                    <w:t>механическим прижимом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источник возбуждения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УВСС КЭМ-2 «Енисей»</w:t>
                  </w:r>
                  <w:r w:rsidR="00B059AC">
                    <w:rPr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система сбора и регистрации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ЭЛЛИСС-3</w:t>
                  </w:r>
                  <w:r w:rsidR="00B059AC">
                    <w:rPr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количество скважин</w:t>
                  </w:r>
                  <w:r w:rsidRPr="00FE3357">
                    <w:rPr>
                      <w:szCs w:val="24"/>
                      <w:lang w:val="en-US"/>
                    </w:rPr>
                    <w:t xml:space="preserve"> / </w:t>
                  </w:r>
                  <w:r w:rsidRPr="00FE3357">
                    <w:rPr>
                      <w:szCs w:val="24"/>
                    </w:rPr>
                    <w:t>плотность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  <w:vertAlign w:val="superscript"/>
                    </w:rPr>
                  </w:pPr>
                  <w:r w:rsidRPr="00FE3357">
                    <w:rPr>
                      <w:szCs w:val="24"/>
                    </w:rPr>
                    <w:t xml:space="preserve">28 / 1 </w:t>
                  </w:r>
                  <w:proofErr w:type="spellStart"/>
                  <w:r w:rsidRPr="00FE3357">
                    <w:rPr>
                      <w:szCs w:val="24"/>
                    </w:rPr>
                    <w:t>скв</w:t>
                  </w:r>
                  <w:proofErr w:type="spellEnd"/>
                  <w:r w:rsidRPr="00FE3357">
                    <w:rPr>
                      <w:szCs w:val="24"/>
                    </w:rPr>
                    <w:t>. на 1 км</w:t>
                  </w:r>
                  <w:proofErr w:type="gramStart"/>
                  <w:r w:rsidRPr="00FE3357">
                    <w:rPr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линия приведения, </w:t>
                  </w:r>
                  <w:proofErr w:type="gramStart"/>
                  <w:r w:rsidRPr="00FE3357">
                    <w:rPr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+30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средняя глубина скважин, </w:t>
                  </w:r>
                  <w:proofErr w:type="gramStart"/>
                  <w:r w:rsidRPr="00FE3357">
                    <w:rPr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60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количество </w:t>
                  </w:r>
                  <w:proofErr w:type="spellStart"/>
                  <w:r w:rsidRPr="00FE3357">
                    <w:rPr>
                      <w:szCs w:val="24"/>
                    </w:rPr>
                    <w:t>ф.</w:t>
                  </w:r>
                  <w:proofErr w:type="gramStart"/>
                  <w:r w:rsidRPr="00FE3357">
                    <w:rPr>
                      <w:szCs w:val="24"/>
                    </w:rPr>
                    <w:t>н</w:t>
                  </w:r>
                  <w:proofErr w:type="spellEnd"/>
                  <w:proofErr w:type="gramEnd"/>
                  <w:r w:rsidRPr="00FE3357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840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шаг наблюдения по стволу </w:t>
                  </w:r>
                  <w:proofErr w:type="spellStart"/>
                  <w:r w:rsidRPr="00FE3357">
                    <w:rPr>
                      <w:szCs w:val="24"/>
                    </w:rPr>
                    <w:t>скв</w:t>
                  </w:r>
                  <w:proofErr w:type="spellEnd"/>
                  <w:r w:rsidRPr="00FE3357">
                    <w:rPr>
                      <w:szCs w:val="24"/>
                    </w:rPr>
                    <w:t>.,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2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длина записи, </w:t>
                  </w:r>
                  <w:proofErr w:type="spellStart"/>
                  <w:r w:rsidRPr="00FE3357">
                    <w:rPr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1000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- шаг дискретизации, </w:t>
                  </w:r>
                  <w:proofErr w:type="spellStart"/>
                  <w:r w:rsidRPr="00FE3357">
                    <w:rPr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  <w:lang w:val="en-US"/>
                    </w:rPr>
                  </w:pPr>
                  <w:r w:rsidRPr="00FE3357">
                    <w:rPr>
                      <w:szCs w:val="24"/>
                    </w:rPr>
                    <w:t>1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3. Бурение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- методика работ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вращательное бурение с очисткой забоя скважины технической водой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- объём работ, м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1680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- тип буровых станков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УРБ-2А-2 на базе Камаз-43114 и Урал-4320</w:t>
                  </w:r>
                  <w:r w:rsidR="00B059AC">
                    <w:rPr>
                      <w:noProof/>
                      <w:color w:val="000000"/>
                      <w:spacing w:val="-3"/>
                      <w:szCs w:val="24"/>
                    </w:rPr>
                    <w:t xml:space="preserve"> или аналог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>- характеристика долота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noProof/>
                      <w:color w:val="000000"/>
                      <w:spacing w:val="-3"/>
                      <w:szCs w:val="24"/>
                    </w:rPr>
                  </w:pPr>
                  <w:r w:rsidRPr="00FE3357">
                    <w:rPr>
                      <w:noProof/>
                      <w:color w:val="000000"/>
                      <w:spacing w:val="-3"/>
                      <w:szCs w:val="24"/>
                    </w:rPr>
                    <w:t xml:space="preserve">лопастное, Ø </w:t>
                  </w:r>
                  <w:smartTag w:uri="urn:schemas-microsoft-com:office:smarttags" w:element="metricconverter">
                    <w:smartTagPr>
                      <w:attr w:name="ProductID" w:val="112 мм"/>
                    </w:smartTagPr>
                    <w:r w:rsidRPr="00FE3357">
                      <w:rPr>
                        <w:noProof/>
                        <w:color w:val="000000"/>
                        <w:spacing w:val="-3"/>
                        <w:szCs w:val="24"/>
                      </w:rPr>
                      <w:t>112 мм</w:t>
                    </w:r>
                  </w:smartTag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6408" w:type="dxa"/>
                  <w:gridSpan w:val="2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b/>
                      <w:szCs w:val="24"/>
                    </w:rPr>
                  </w:pPr>
                  <w:r w:rsidRPr="00FE3357">
                    <w:rPr>
                      <w:b/>
                      <w:szCs w:val="24"/>
                    </w:rPr>
                    <w:t>4. Топогеодезические работы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масштаб работ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1:25 000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система координат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ГСК-2011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система высот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Балтийская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вынос на местность проектной сети профилей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 xml:space="preserve">от пунктов ГГС и опорной геодезической сети сгущения (создается спутниковой системой привязки </w:t>
                  </w:r>
                  <w:r w:rsidRPr="00FE3357">
                    <w:rPr>
                      <w:szCs w:val="24"/>
                      <w:lang w:val="en-US"/>
                    </w:rPr>
                    <w:t>GPS</w:t>
                  </w:r>
                  <w:r w:rsidRPr="00FE3357">
                    <w:rPr>
                      <w:szCs w:val="24"/>
                    </w:rPr>
                    <w:t>)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вешение профилей и разбивка пикетажа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инструментальная через 25 м для ПП и 50 м для ПВ, не грубее 1:300 при смещении ПВ в крест профиля свыше СКО определения ПГН в плане - определение фактических координат ПВ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закрепление ПГН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закрепляются вехами с маркировкой, сеть планово-высотного обоснования закрепляется временными знаками без закладки центра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абрис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по каждой полосе (блоку) отработки</w:t>
                  </w:r>
                </w:p>
              </w:tc>
            </w:tr>
            <w:tr w:rsidR="00DA5932" w:rsidRPr="00FE3357" w:rsidTr="00440461">
              <w:trPr>
                <w:jc w:val="center"/>
              </w:trPr>
              <w:tc>
                <w:tcPr>
                  <w:tcW w:w="3032" w:type="dxa"/>
                  <w:vAlign w:val="center"/>
                </w:tcPr>
                <w:p w:rsidR="00DA5932" w:rsidRPr="00FE3357" w:rsidRDefault="00DA5932" w:rsidP="004A1612">
                  <w:pPr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- каталог координат и высот</w:t>
                  </w:r>
                </w:p>
              </w:tc>
              <w:tc>
                <w:tcPr>
                  <w:tcW w:w="3376" w:type="dxa"/>
                  <w:vAlign w:val="center"/>
                </w:tcPr>
                <w:p w:rsidR="00DA5932" w:rsidRPr="00FE3357" w:rsidRDefault="00DA5932" w:rsidP="004A1612">
                  <w:pPr>
                    <w:snapToGrid w:val="0"/>
                    <w:ind w:right="176"/>
                    <w:jc w:val="both"/>
                    <w:rPr>
                      <w:szCs w:val="24"/>
                    </w:rPr>
                  </w:pPr>
                  <w:r w:rsidRPr="00FE3357">
                    <w:rPr>
                      <w:szCs w:val="24"/>
                    </w:rPr>
                    <w:t>на цифровых носителях в формате SEGP-1 (</w:t>
                  </w:r>
                  <w:r w:rsidRPr="00FE3357">
                    <w:rPr>
                      <w:szCs w:val="24"/>
                      <w:lang w:val="en-US"/>
                    </w:rPr>
                    <w:t>SPS</w:t>
                  </w:r>
                  <w:r w:rsidRPr="00FE3357">
                    <w:rPr>
                      <w:szCs w:val="24"/>
                    </w:rPr>
                    <w:t>)</w:t>
                  </w:r>
                </w:p>
              </w:tc>
            </w:tr>
          </w:tbl>
          <w:p w:rsidR="00DA5932" w:rsidRDefault="00DA5932" w:rsidP="004A1612">
            <w:pPr>
              <w:tabs>
                <w:tab w:val="left" w:pos="0"/>
              </w:tabs>
              <w:ind w:right="176"/>
              <w:jc w:val="both"/>
              <w:rPr>
                <w:b/>
                <w:i/>
                <w:w w:val="103"/>
                <w:szCs w:val="24"/>
              </w:rPr>
            </w:pPr>
          </w:p>
          <w:p w:rsidR="0029272E" w:rsidRDefault="0029272E" w:rsidP="004A1612">
            <w:pPr>
              <w:tabs>
                <w:tab w:val="left" w:pos="0"/>
              </w:tabs>
              <w:ind w:right="176"/>
              <w:jc w:val="both"/>
              <w:rPr>
                <w:b/>
                <w:i/>
                <w:w w:val="103"/>
                <w:szCs w:val="24"/>
              </w:rPr>
            </w:pPr>
          </w:p>
          <w:p w:rsidR="0029272E" w:rsidRDefault="0029272E" w:rsidP="004A1612">
            <w:pPr>
              <w:tabs>
                <w:tab w:val="left" w:pos="0"/>
              </w:tabs>
              <w:ind w:right="176"/>
              <w:jc w:val="both"/>
              <w:rPr>
                <w:b/>
                <w:i/>
                <w:w w:val="103"/>
                <w:szCs w:val="24"/>
              </w:rPr>
            </w:pPr>
          </w:p>
          <w:p w:rsidR="00236500" w:rsidRDefault="00DA5932" w:rsidP="004A1612">
            <w:pPr>
              <w:tabs>
                <w:tab w:val="left" w:pos="0"/>
              </w:tabs>
              <w:ind w:right="176"/>
              <w:jc w:val="both"/>
              <w:rPr>
                <w:b/>
                <w:i/>
                <w:w w:val="103"/>
                <w:szCs w:val="24"/>
              </w:rPr>
            </w:pPr>
            <w:r w:rsidRPr="00FE3357">
              <w:rPr>
                <w:b/>
                <w:i/>
                <w:w w:val="103"/>
                <w:szCs w:val="24"/>
              </w:rPr>
              <w:lastRenderedPageBreak/>
              <w:t>Изучение верхней части разреза</w:t>
            </w:r>
          </w:p>
          <w:p w:rsidR="00DA5932" w:rsidRPr="00FE3357" w:rsidRDefault="00DA5932" w:rsidP="004A1612">
            <w:pPr>
              <w:ind w:right="176"/>
              <w:jc w:val="both"/>
              <w:rPr>
                <w:w w:val="103"/>
                <w:szCs w:val="24"/>
              </w:rPr>
            </w:pPr>
            <w:r w:rsidRPr="00FE3357">
              <w:rPr>
                <w:w w:val="103"/>
                <w:szCs w:val="24"/>
              </w:rPr>
              <w:t xml:space="preserve">Для изучения скоростной характеристики верхней части разреза и определения статических поправок проводится прямой </w:t>
            </w:r>
            <w:proofErr w:type="spellStart"/>
            <w:r w:rsidRPr="00FE3357">
              <w:rPr>
                <w:w w:val="103"/>
                <w:szCs w:val="24"/>
              </w:rPr>
              <w:t>микросейсмокаротаж</w:t>
            </w:r>
            <w:proofErr w:type="spellEnd"/>
            <w:r w:rsidRPr="00FE3357">
              <w:rPr>
                <w:w w:val="103"/>
                <w:szCs w:val="24"/>
              </w:rPr>
              <w:t xml:space="preserve"> в скважинах</w:t>
            </w:r>
            <w:r w:rsidRPr="00FE3357">
              <w:rPr>
                <w:szCs w:val="24"/>
              </w:rPr>
              <w:t>, специально пробуренных для этой цели.</w:t>
            </w:r>
            <w:r w:rsidRPr="00FE3357">
              <w:rPr>
                <w:w w:val="103"/>
                <w:szCs w:val="24"/>
              </w:rPr>
              <w:t xml:space="preserve"> </w:t>
            </w:r>
            <w:r w:rsidRPr="00FE3357">
              <w:rPr>
                <w:szCs w:val="24"/>
              </w:rPr>
              <w:t xml:space="preserve">Эти работы выполняются параллельно со съемкой МОГТ вне зоны помех </w:t>
            </w:r>
            <w:proofErr w:type="gramStart"/>
            <w:r w:rsidRPr="00FE3357">
              <w:rPr>
                <w:szCs w:val="24"/>
              </w:rPr>
              <w:t>для</w:t>
            </w:r>
            <w:proofErr w:type="gramEnd"/>
            <w:r w:rsidRPr="00FE3357">
              <w:rPr>
                <w:szCs w:val="24"/>
              </w:rPr>
              <w:t xml:space="preserve"> последней.</w:t>
            </w:r>
            <w:r w:rsidRPr="00FE3357">
              <w:rPr>
                <w:w w:val="103"/>
                <w:szCs w:val="24"/>
              </w:rPr>
              <w:t xml:space="preserve"> Глубина скважин устанавливается такой, чтобы обеспечить вскрытие подошвы ЗМС с забоем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3357">
                <w:rPr>
                  <w:w w:val="103"/>
                  <w:szCs w:val="24"/>
                </w:rPr>
                <w:t>10 м</w:t>
              </w:r>
            </w:smartTag>
            <w:r w:rsidRPr="00FE3357">
              <w:rPr>
                <w:w w:val="103"/>
                <w:szCs w:val="24"/>
              </w:rPr>
              <w:t xml:space="preserve"> ниже этой поверхности при наличии технической возможности. Методика работ </w:t>
            </w:r>
            <w:proofErr w:type="gramStart"/>
            <w:r w:rsidRPr="00FE3357">
              <w:rPr>
                <w:w w:val="103"/>
                <w:szCs w:val="24"/>
              </w:rPr>
              <w:t>МСК</w:t>
            </w:r>
            <w:proofErr w:type="gramEnd"/>
            <w:r w:rsidRPr="00FE3357">
              <w:rPr>
                <w:w w:val="103"/>
                <w:szCs w:val="24"/>
              </w:rPr>
              <w:t xml:space="preserve"> должна обеспечивать учет неоднородности верхней части разреза.</w:t>
            </w:r>
          </w:p>
          <w:p w:rsidR="00DA5932" w:rsidRDefault="00DA5932" w:rsidP="004A1612">
            <w:pPr>
              <w:tabs>
                <w:tab w:val="left" w:pos="0"/>
              </w:tabs>
              <w:ind w:right="176"/>
              <w:jc w:val="both"/>
              <w:rPr>
                <w:szCs w:val="24"/>
              </w:rPr>
            </w:pPr>
            <w:r w:rsidRPr="00FE3357">
              <w:rPr>
                <w:w w:val="103"/>
                <w:szCs w:val="24"/>
              </w:rPr>
              <w:t>Р</w:t>
            </w:r>
            <w:r w:rsidRPr="00FE3357">
              <w:rPr>
                <w:szCs w:val="24"/>
              </w:rPr>
              <w:t xml:space="preserve">асстояние между </w:t>
            </w:r>
            <w:proofErr w:type="gramStart"/>
            <w:r w:rsidRPr="00FE3357">
              <w:rPr>
                <w:szCs w:val="24"/>
              </w:rPr>
              <w:t>МСК</w:t>
            </w:r>
            <w:proofErr w:type="gramEnd"/>
            <w:r w:rsidRPr="00FE3357">
              <w:rPr>
                <w:szCs w:val="24"/>
              </w:rPr>
              <w:t xml:space="preserve"> со средним шагом 1 </w:t>
            </w:r>
            <w:proofErr w:type="spellStart"/>
            <w:r w:rsidRPr="00FE3357">
              <w:rPr>
                <w:szCs w:val="24"/>
              </w:rPr>
              <w:t>скв</w:t>
            </w:r>
            <w:proofErr w:type="spellEnd"/>
            <w:r w:rsidRPr="00FE3357">
              <w:rPr>
                <w:szCs w:val="24"/>
              </w:rPr>
              <w:t>. на 1 км</w:t>
            </w:r>
            <w:r w:rsidRPr="00FE3357">
              <w:rPr>
                <w:szCs w:val="24"/>
                <w:vertAlign w:val="superscript"/>
              </w:rPr>
              <w:t>2</w:t>
            </w:r>
            <w:r w:rsidRPr="00FE3357">
              <w:rPr>
                <w:szCs w:val="24"/>
              </w:rPr>
              <w:t xml:space="preserve">. Работы </w:t>
            </w:r>
            <w:proofErr w:type="gramStart"/>
            <w:r w:rsidRPr="00FE3357">
              <w:rPr>
                <w:szCs w:val="24"/>
              </w:rPr>
              <w:t>МСК</w:t>
            </w:r>
            <w:proofErr w:type="gramEnd"/>
            <w:r w:rsidRPr="00FE3357">
              <w:rPr>
                <w:szCs w:val="24"/>
              </w:rPr>
              <w:t xml:space="preserve"> проводятся по методике прямого каротажа. Регистрация осуществляется современной сейсмической станцией с шагом дискретизации 1 </w:t>
            </w:r>
            <w:proofErr w:type="spellStart"/>
            <w:r w:rsidRPr="00FE3357">
              <w:rPr>
                <w:szCs w:val="24"/>
              </w:rPr>
              <w:t>мс</w:t>
            </w:r>
            <w:proofErr w:type="spellEnd"/>
            <w:r w:rsidRPr="00FE3357">
              <w:rPr>
                <w:szCs w:val="24"/>
              </w:rPr>
              <w:t xml:space="preserve">. В качестве источника возбуждения применяется источник сейсмических колебаний «Енисей КЭМ-2» или аналог. Шаг наблюдений по стволу скважины составит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E3357">
                <w:rPr>
                  <w:szCs w:val="24"/>
                </w:rPr>
                <w:t>2 м</w:t>
              </w:r>
            </w:smartTag>
            <w:r w:rsidRPr="00FE3357">
              <w:rPr>
                <w:szCs w:val="24"/>
              </w:rPr>
              <w:t>.</w:t>
            </w:r>
          </w:p>
          <w:p w:rsidR="00DA5932" w:rsidRPr="00FE3357" w:rsidRDefault="00DA5932" w:rsidP="004A1612">
            <w:pPr>
              <w:ind w:right="176"/>
              <w:jc w:val="both"/>
              <w:rPr>
                <w:b/>
                <w:szCs w:val="24"/>
              </w:rPr>
            </w:pPr>
            <w:r w:rsidRPr="00FE3357">
              <w:rPr>
                <w:b/>
                <w:i/>
                <w:szCs w:val="24"/>
              </w:rPr>
              <w:t>Контроль качества полевых работ</w:t>
            </w:r>
          </w:p>
          <w:p w:rsidR="00DA5932" w:rsidRPr="00FE3357" w:rsidRDefault="00DA5932" w:rsidP="004A1612">
            <w:pPr>
              <w:ind w:right="176"/>
              <w:jc w:val="both"/>
              <w:rPr>
                <w:szCs w:val="24"/>
              </w:rPr>
            </w:pPr>
            <w:r w:rsidRPr="00FE3357">
              <w:rPr>
                <w:szCs w:val="24"/>
              </w:rPr>
              <w:t>Обеспечить контроль качества первичных материалов на современном полевом ВЦ Подрядчика, расположенном на участке работ.</w:t>
            </w:r>
          </w:p>
          <w:p w:rsidR="00DA5932" w:rsidRPr="00FE3357" w:rsidRDefault="00DA5932" w:rsidP="004A1612">
            <w:pPr>
              <w:suppressLineNumbers/>
              <w:ind w:right="176"/>
              <w:jc w:val="both"/>
              <w:rPr>
                <w:szCs w:val="24"/>
              </w:rPr>
            </w:pPr>
            <w:r w:rsidRPr="00FE3357">
              <w:rPr>
                <w:szCs w:val="24"/>
              </w:rPr>
              <w:t>Полевой ВЦ должен быть оснащён интерактивной сейсмической системой обработки данных с широкими функциональными возможностями, в том числе позволяющей проводить динамический анализ полевых сейсмограмм.</w:t>
            </w:r>
          </w:p>
          <w:p w:rsidR="00DA5932" w:rsidRPr="00FE3357" w:rsidRDefault="00DA5932" w:rsidP="004A1612">
            <w:pPr>
              <w:suppressLineNumbers/>
              <w:ind w:right="176"/>
              <w:jc w:val="both"/>
              <w:rPr>
                <w:szCs w:val="24"/>
              </w:rPr>
            </w:pPr>
            <w:r w:rsidRPr="00FE3357">
              <w:rPr>
                <w:szCs w:val="24"/>
              </w:rPr>
              <w:t xml:space="preserve">Провести предварительную обработку сейсмических полевых материалов 3Д, предоставить </w:t>
            </w:r>
            <w:proofErr w:type="gramStart"/>
            <w:r w:rsidRPr="00FE3357">
              <w:rPr>
                <w:szCs w:val="24"/>
              </w:rPr>
              <w:t>временные</w:t>
            </w:r>
            <w:proofErr w:type="gramEnd"/>
            <w:r w:rsidRPr="00FE3357">
              <w:rPr>
                <w:szCs w:val="24"/>
              </w:rPr>
              <w:t xml:space="preserve"> экспресс-разрезы по каждому отработанному профилю.</w:t>
            </w:r>
          </w:p>
          <w:p w:rsidR="00DA5932" w:rsidRPr="00FE3357" w:rsidRDefault="00DA5932" w:rsidP="004A1612">
            <w:pPr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В ходе производственных сейсморазведочных работ провести изучение строения ВЧР. Результаты изучения ВЧР использовать для коррекции </w:t>
            </w:r>
            <w:proofErr w:type="spellStart"/>
            <w:r w:rsidRPr="00FE3357">
              <w:rPr>
                <w:bCs/>
                <w:szCs w:val="24"/>
              </w:rPr>
              <w:t>длиннопериодной</w:t>
            </w:r>
            <w:proofErr w:type="spellEnd"/>
            <w:r w:rsidRPr="00FE3357">
              <w:rPr>
                <w:bCs/>
                <w:szCs w:val="24"/>
              </w:rPr>
              <w:t xml:space="preserve"> статики на этапе обработки и построения модели строения ВЧР.</w:t>
            </w:r>
          </w:p>
          <w:p w:rsidR="00DA5932" w:rsidRPr="00FE3357" w:rsidRDefault="00DA5932" w:rsidP="004A1612">
            <w:pPr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Обеспечить ежедневное информирование Заказчика о ходе полевых работ.</w:t>
            </w:r>
          </w:p>
          <w:p w:rsidR="00DA5932" w:rsidRPr="00FE3357" w:rsidRDefault="00DA5932" w:rsidP="004A1612">
            <w:pPr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Обеспечить возможность оперативной связи с Заказчиком по телефону и электронной почте непосредственно с места проведения работ (места базирования </w:t>
            </w:r>
            <w:proofErr w:type="spellStart"/>
            <w:r w:rsidRPr="00FE3357">
              <w:rPr>
                <w:bCs/>
                <w:szCs w:val="24"/>
              </w:rPr>
              <w:t>сейсмопартии</w:t>
            </w:r>
            <w:proofErr w:type="spellEnd"/>
            <w:r w:rsidRPr="00FE3357">
              <w:rPr>
                <w:bCs/>
                <w:szCs w:val="24"/>
              </w:rPr>
              <w:t>).</w:t>
            </w:r>
          </w:p>
          <w:p w:rsidR="00DA5932" w:rsidRPr="00FE3357" w:rsidRDefault="00DA5932" w:rsidP="004A1612">
            <w:pPr>
              <w:tabs>
                <w:tab w:val="left" w:pos="342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Обеспечить регистрацию собственных процессов аппаратуры с подключёнными приёмными линиями для учета их влияния при последующей обработке.</w:t>
            </w:r>
          </w:p>
          <w:p w:rsidR="00DA5932" w:rsidRPr="00FE3357" w:rsidRDefault="00DA5932" w:rsidP="004A1612">
            <w:pPr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Провести окончательную приёмку полевых сейсморазведочных материалов комиссией с участием представителей Заказчика. Место проведения окончательной приёмки определяется Заказчиком.</w:t>
            </w:r>
          </w:p>
          <w:p w:rsidR="00DA5932" w:rsidRDefault="00DA5932" w:rsidP="004A1612">
            <w:pPr>
              <w:ind w:right="176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FE3357">
              <w:rPr>
                <w:b/>
                <w:bCs/>
                <w:i/>
                <w:szCs w:val="24"/>
              </w:rPr>
              <w:t>Обработка и интерпретация</w:t>
            </w:r>
          </w:p>
          <w:p w:rsidR="009F163B" w:rsidRPr="00BD2E95" w:rsidRDefault="009F163B" w:rsidP="009F163B">
            <w:pPr>
              <w:tabs>
                <w:tab w:val="left" w:pos="943"/>
              </w:tabs>
              <w:ind w:right="-1"/>
              <w:jc w:val="both"/>
              <w:rPr>
                <w:lang w:eastAsia="en-US"/>
              </w:rPr>
            </w:pPr>
            <w:r w:rsidRPr="00BD2E95">
              <w:rPr>
                <w:shd w:val="clear" w:color="auto" w:fill="FFFFFF"/>
              </w:rPr>
              <w:t>Обработки сейсмических данных</w:t>
            </w:r>
            <w:r w:rsidRPr="00BD2E95">
              <w:t xml:space="preserve"> МОГТ-3Д в объёме </w:t>
            </w:r>
            <w:r w:rsidRPr="009F163B">
              <w:rPr>
                <w:lang w:eastAsia="en-US"/>
              </w:rPr>
              <w:t>28</w:t>
            </w:r>
            <w:r>
              <w:rPr>
                <w:lang w:eastAsia="en-US"/>
              </w:rPr>
              <w:t>.8</w:t>
            </w:r>
            <w:r w:rsidRPr="00BD2E9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BD2E9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BD2E95">
              <w:rPr>
                <w:color w:val="000000"/>
                <w:lang w:eastAsia="en-US"/>
              </w:rPr>
              <w:t xml:space="preserve"> </w:t>
            </w:r>
            <w:r w:rsidRPr="00BD2E95">
              <w:rPr>
                <w:shd w:val="clear" w:color="auto" w:fill="FFFFFF"/>
              </w:rPr>
              <w:t>во временной области</w:t>
            </w:r>
            <w:r w:rsidRPr="00BD2E95">
              <w:t xml:space="preserve"> в </w:t>
            </w:r>
            <w:r w:rsidRPr="004D6C69">
              <w:t>программно-аппаратном комплексе "</w:t>
            </w:r>
            <w:proofErr w:type="spellStart"/>
            <w:r w:rsidRPr="004D6C69">
              <w:t>Geocluster</w:t>
            </w:r>
            <w:proofErr w:type="spellEnd"/>
            <w:r w:rsidRPr="004D6C69">
              <w:t>" «</w:t>
            </w:r>
            <w:proofErr w:type="spellStart"/>
            <w:r w:rsidRPr="004D6C69">
              <w:rPr>
                <w:lang w:val="en-US"/>
              </w:rPr>
              <w:t>Geovation</w:t>
            </w:r>
            <w:proofErr w:type="spellEnd"/>
            <w:r w:rsidRPr="00A94C43">
              <w:t>», «</w:t>
            </w:r>
            <w:r w:rsidRPr="00A94C43">
              <w:rPr>
                <w:lang w:val="en-US"/>
              </w:rPr>
              <w:t>Omega</w:t>
            </w:r>
            <w:r w:rsidRPr="00A94C43">
              <w:t>»</w:t>
            </w:r>
            <w:r>
              <w:t xml:space="preserve"> или аналог,</w:t>
            </w:r>
            <w:r w:rsidRPr="00BD2E95">
              <w:rPr>
                <w:color w:val="000000"/>
                <w:lang w:eastAsia="en-US"/>
              </w:rPr>
              <w:t xml:space="preserve"> с получением временных кубов данных МОГТ-3Д.</w:t>
            </w:r>
          </w:p>
          <w:p w:rsidR="009F163B" w:rsidRPr="00BD2E95" w:rsidRDefault="009F163B" w:rsidP="009F163B">
            <w:pPr>
              <w:ind w:right="-1"/>
              <w:contextualSpacing/>
              <w:jc w:val="both"/>
            </w:pPr>
            <w:r w:rsidRPr="00BD2E95">
              <w:t xml:space="preserve">Интерпретационная обработка </w:t>
            </w:r>
            <w:r w:rsidRPr="00BD2E95">
              <w:rPr>
                <w:shd w:val="clear" w:color="auto" w:fill="FFFFFF"/>
              </w:rPr>
              <w:t>сейсмических данных</w:t>
            </w:r>
            <w:r w:rsidRPr="00BD2E95">
              <w:t xml:space="preserve"> МОГТ-3Д в объёме </w:t>
            </w:r>
            <w:r>
              <w:rPr>
                <w:lang w:eastAsia="en-US"/>
              </w:rPr>
              <w:t>28.8</w:t>
            </w:r>
            <w:r w:rsidRPr="00BD2E95">
              <w:rPr>
                <w:color w:val="000000"/>
                <w:lang w:eastAsia="en-US"/>
              </w:rPr>
              <w:t xml:space="preserve"> км</w:t>
            </w:r>
            <w:proofErr w:type="gramStart"/>
            <w:r w:rsidRPr="00BD2E95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BD2E95">
              <w:rPr>
                <w:color w:val="000000"/>
                <w:vertAlign w:val="superscript"/>
                <w:lang w:eastAsia="en-US"/>
              </w:rPr>
              <w:t xml:space="preserve"> </w:t>
            </w:r>
            <w:r w:rsidRPr="00BD2E95">
              <w:t xml:space="preserve">с применением процедур глубинной миграции до суммирования с подбором глубинно-скоростной модели интерактивным </w:t>
            </w:r>
            <w:r>
              <w:t xml:space="preserve"> </w:t>
            </w:r>
            <w:r w:rsidRPr="00223CF1">
              <w:t>способом в программном комплексе «</w:t>
            </w:r>
            <w:r w:rsidRPr="00223CF1">
              <w:rPr>
                <w:iCs/>
                <w:lang w:val="en-US"/>
              </w:rPr>
              <w:t>Prime</w:t>
            </w:r>
            <w:r w:rsidRPr="004D6C69">
              <w:rPr>
                <w:iCs/>
              </w:rPr>
              <w:t>»,</w:t>
            </w:r>
            <w:r>
              <w:rPr>
                <w:iCs/>
              </w:rPr>
              <w:t xml:space="preserve"> «</w:t>
            </w:r>
            <w:proofErr w:type="spellStart"/>
            <w:r>
              <w:rPr>
                <w:iCs/>
                <w:lang w:val="en-US"/>
              </w:rPr>
              <w:t>Geoplat</w:t>
            </w:r>
            <w:proofErr w:type="spellEnd"/>
            <w:r w:rsidRPr="00A94C43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Seismic</w:t>
            </w:r>
            <w:r w:rsidRPr="00A94C43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Interpretation</w:t>
            </w:r>
            <w:r>
              <w:rPr>
                <w:iCs/>
              </w:rPr>
              <w:t>»</w:t>
            </w:r>
            <w:r>
              <w:t>, «</w:t>
            </w:r>
            <w:r>
              <w:rPr>
                <w:lang w:val="en-US"/>
              </w:rPr>
              <w:t>GEOGRAPHIX</w:t>
            </w:r>
            <w:r>
              <w:t>», «</w:t>
            </w:r>
            <w:r>
              <w:rPr>
                <w:lang w:val="en-US"/>
              </w:rPr>
              <w:t>Petrel</w:t>
            </w:r>
            <w:r>
              <w:t>», «</w:t>
            </w:r>
            <w:proofErr w:type="spellStart"/>
            <w:r>
              <w:rPr>
                <w:lang w:val="en-US"/>
              </w:rPr>
              <w:t>GeoDepth</w:t>
            </w:r>
            <w:proofErr w:type="spellEnd"/>
            <w:r>
              <w:t>»</w:t>
            </w:r>
            <w:r>
              <w:rPr>
                <w:color w:val="000000"/>
                <w:lang w:eastAsia="en-US"/>
              </w:rPr>
              <w:t xml:space="preserve"> или аналог,</w:t>
            </w:r>
            <w:r w:rsidRPr="00BD2E95">
              <w:rPr>
                <w:color w:val="000000"/>
                <w:lang w:eastAsia="en-US"/>
              </w:rPr>
              <w:t xml:space="preserve"> с получением глубинных кубов данных МОГТ-3Д</w:t>
            </w:r>
            <w:r w:rsidRPr="00BD2E95">
              <w:t>.</w:t>
            </w:r>
          </w:p>
          <w:p w:rsidR="009F163B" w:rsidRPr="00BD2E95" w:rsidRDefault="009F163B" w:rsidP="009F163B">
            <w:pPr>
              <w:ind w:right="-1"/>
              <w:jc w:val="both"/>
              <w:rPr>
                <w:bCs/>
              </w:rPr>
            </w:pPr>
            <w:r w:rsidRPr="00BD2E95">
              <w:rPr>
                <w:bCs/>
              </w:rPr>
              <w:t xml:space="preserve">Создание интерпретационного проекта в </w:t>
            </w:r>
            <w:r w:rsidRPr="00BD2E95">
              <w:rPr>
                <w:color w:val="000000"/>
              </w:rPr>
              <w:t xml:space="preserve">программно-аппаратном </w:t>
            </w:r>
            <w:r>
              <w:rPr>
                <w:color w:val="000000"/>
              </w:rPr>
              <w:t xml:space="preserve"> </w:t>
            </w:r>
            <w:r w:rsidRPr="00EB1117">
              <w:rPr>
                <w:color w:val="000000"/>
              </w:rPr>
              <w:t>комплексе «</w:t>
            </w:r>
            <w:proofErr w:type="spellStart"/>
            <w:r w:rsidRPr="00EB1117">
              <w:t>Petrel</w:t>
            </w:r>
            <w:proofErr w:type="spellEnd"/>
            <w:r w:rsidRPr="00EB1117">
              <w:t>»,</w:t>
            </w:r>
            <w:r w:rsidRPr="007C713C">
              <w:rPr>
                <w:iCs/>
              </w:rPr>
              <w:t xml:space="preserve"> </w:t>
            </w:r>
            <w:r>
              <w:rPr>
                <w:iCs/>
              </w:rPr>
              <w:t>«</w:t>
            </w:r>
            <w:r w:rsidRPr="00223CF1">
              <w:rPr>
                <w:iCs/>
                <w:lang w:val="en-US"/>
              </w:rPr>
              <w:t>Prime</w:t>
            </w:r>
            <w:r w:rsidRPr="004D6C69">
              <w:rPr>
                <w:iCs/>
              </w:rPr>
              <w:t>»,</w:t>
            </w:r>
            <w:r>
              <w:rPr>
                <w:iCs/>
              </w:rPr>
              <w:t xml:space="preserve"> «</w:t>
            </w:r>
            <w:proofErr w:type="spellStart"/>
            <w:r>
              <w:rPr>
                <w:iCs/>
                <w:lang w:val="en-US"/>
              </w:rPr>
              <w:t>Geoplat</w:t>
            </w:r>
            <w:proofErr w:type="spellEnd"/>
            <w:r w:rsidRPr="00A94C43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Seismic</w:t>
            </w:r>
            <w:r w:rsidRPr="00A94C43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Interpretation</w:t>
            </w:r>
            <w:r>
              <w:rPr>
                <w:iCs/>
              </w:rPr>
              <w:t>»</w:t>
            </w:r>
            <w:r>
              <w:t>, «</w:t>
            </w:r>
            <w:r>
              <w:rPr>
                <w:lang w:val="en-US"/>
              </w:rPr>
              <w:t>GEOGRAPHIX</w:t>
            </w:r>
            <w:r>
              <w:t>», «</w:t>
            </w:r>
            <w:proofErr w:type="spellStart"/>
            <w:r>
              <w:rPr>
                <w:lang w:val="en-US"/>
              </w:rPr>
              <w:t>GeoDepth</w:t>
            </w:r>
            <w:proofErr w:type="spellEnd"/>
            <w:r>
              <w:t xml:space="preserve">» </w:t>
            </w:r>
            <w:r w:rsidRPr="00BD2E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 аналог</w:t>
            </w:r>
            <w:r w:rsidRPr="00BD2E95">
              <w:rPr>
                <w:color w:val="000000"/>
              </w:rPr>
              <w:t xml:space="preserve">, обеспечивающего </w:t>
            </w:r>
            <w:r w:rsidRPr="00BD2E95">
              <w:rPr>
                <w:bCs/>
                <w:lang w:eastAsia="en-US"/>
              </w:rPr>
              <w:t xml:space="preserve">согласование между собой совокупности имеющихся в пределах </w:t>
            </w:r>
            <w:r>
              <w:rPr>
                <w:bCs/>
                <w:lang w:eastAsia="en-US"/>
              </w:rPr>
              <w:t>юго-</w:t>
            </w:r>
            <w:r w:rsidRPr="00BD2E95">
              <w:rPr>
                <w:bCs/>
                <w:lang w:eastAsia="en-US"/>
              </w:rPr>
              <w:t xml:space="preserve">восточной части </w:t>
            </w:r>
            <w:proofErr w:type="spellStart"/>
            <w:r>
              <w:rPr>
                <w:bCs/>
                <w:lang w:eastAsia="en-US"/>
              </w:rPr>
              <w:t>Иргизского</w:t>
            </w:r>
            <w:proofErr w:type="spellEnd"/>
            <w:r w:rsidRPr="00BD2E95">
              <w:rPr>
                <w:bCs/>
                <w:lang w:eastAsia="en-US"/>
              </w:rPr>
              <w:t xml:space="preserve"> участка недр сейсмических материалов МОГТ-3Д, выполнение </w:t>
            </w:r>
            <w:r w:rsidRPr="00BD2E95">
              <w:rPr>
                <w:color w:val="000000"/>
              </w:rPr>
              <w:t xml:space="preserve">комплексной интерпретации </w:t>
            </w:r>
            <w:r w:rsidRPr="00BD2E95">
              <w:rPr>
                <w:bCs/>
              </w:rPr>
              <w:t>с привлечением данных глубоких скважин;</w:t>
            </w:r>
          </w:p>
          <w:p w:rsidR="009F163B" w:rsidRPr="00BD2E95" w:rsidRDefault="009F163B" w:rsidP="009F163B">
            <w:pPr>
              <w:ind w:right="-1"/>
              <w:jc w:val="both"/>
              <w:rPr>
                <w:color w:val="000000"/>
                <w:lang w:eastAsia="en-US"/>
              </w:rPr>
            </w:pPr>
            <w:r w:rsidRPr="00BD2E95">
              <w:rPr>
                <w:color w:val="000000"/>
                <w:lang w:eastAsia="en-US"/>
              </w:rPr>
              <w:t xml:space="preserve">Построение сводных структурных карт масштаба 1:25 000 по целевым отражающим горизонтам: </w:t>
            </w:r>
            <w:proofErr w:type="spellStart"/>
            <w:r w:rsidRPr="00FE3357">
              <w:rPr>
                <w:szCs w:val="24"/>
              </w:rPr>
              <w:t>Pz</w:t>
            </w:r>
            <w:proofErr w:type="spellEnd"/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2</w:t>
            </w:r>
            <w:r w:rsidRPr="00FE3357">
              <w:rPr>
                <w:szCs w:val="24"/>
                <w:vertAlign w:val="superscript"/>
                <w:lang w:val="en-US"/>
              </w:rPr>
              <w:t>k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2</w:t>
            </w:r>
            <w:r w:rsidRPr="00FE3357">
              <w:rPr>
                <w:szCs w:val="24"/>
                <w:vertAlign w:val="superscript"/>
              </w:rPr>
              <w:t>mk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</w:rPr>
              <w:t>al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</w:rPr>
              <w:t>bb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  <w:lang w:val="en-US"/>
              </w:rPr>
              <w:t>up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D</w:t>
            </w:r>
            <w:r w:rsidRPr="00FE3357">
              <w:rPr>
                <w:szCs w:val="24"/>
                <w:vertAlign w:val="subscript"/>
              </w:rPr>
              <w:t>3</w:t>
            </w:r>
            <w:r w:rsidRPr="00FE3357">
              <w:rPr>
                <w:szCs w:val="24"/>
                <w:vertAlign w:val="superscript"/>
              </w:rPr>
              <w:t>sr</w:t>
            </w:r>
            <w:r w:rsidRPr="00FE3357">
              <w:rPr>
                <w:szCs w:val="24"/>
              </w:rPr>
              <w:t>, Ф</w:t>
            </w:r>
          </w:p>
          <w:p w:rsidR="00DA5932" w:rsidRPr="009F163B" w:rsidRDefault="009F163B" w:rsidP="009F163B">
            <w:pPr>
              <w:ind w:right="176"/>
              <w:jc w:val="both"/>
              <w:rPr>
                <w:b/>
                <w:bCs/>
                <w:i/>
                <w:szCs w:val="24"/>
              </w:rPr>
            </w:pPr>
            <w:r w:rsidRPr="00BD2E95">
              <w:rPr>
                <w:color w:val="000000"/>
                <w:lang w:eastAsia="en-US"/>
              </w:rPr>
              <w:t xml:space="preserve">Составление паспортов на подготовленные объекты (в случае </w:t>
            </w:r>
            <w:proofErr w:type="spellStart"/>
            <w:r w:rsidRPr="00BD2E95">
              <w:rPr>
                <w:color w:val="000000"/>
                <w:lang w:eastAsia="en-US"/>
              </w:rPr>
              <w:t>кондиционности</w:t>
            </w:r>
            <w:proofErr w:type="spellEnd"/>
            <w:r w:rsidRPr="00BD2E95">
              <w:rPr>
                <w:color w:val="000000"/>
                <w:lang w:eastAsia="en-US"/>
              </w:rPr>
              <w:t>).</w:t>
            </w:r>
            <w:r>
              <w:rPr>
                <w:color w:val="000000"/>
                <w:lang w:eastAsia="en-US"/>
              </w:rPr>
              <w:t xml:space="preserve">       </w:t>
            </w:r>
          </w:p>
        </w:tc>
      </w:tr>
      <w:tr w:rsidR="00236500" w:rsidRPr="00236500" w:rsidTr="004A1612">
        <w:tc>
          <w:tcPr>
            <w:tcW w:w="2235" w:type="dxa"/>
            <w:shd w:val="clear" w:color="auto" w:fill="auto"/>
          </w:tcPr>
          <w:p w:rsidR="00236500" w:rsidRPr="004A1612" w:rsidRDefault="004A161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bCs/>
                <w:iCs/>
                <w:szCs w:val="24"/>
              </w:rPr>
              <w:lastRenderedPageBreak/>
              <w:t>Ожидаемые геологические результаты</w:t>
            </w:r>
          </w:p>
        </w:tc>
        <w:tc>
          <w:tcPr>
            <w:tcW w:w="7484" w:type="dxa"/>
            <w:shd w:val="clear" w:color="auto" w:fill="auto"/>
          </w:tcPr>
          <w:p w:rsidR="004A1612" w:rsidRPr="00FE3357" w:rsidRDefault="004A1612" w:rsidP="004A1612">
            <w:pPr>
              <w:tabs>
                <w:tab w:val="left" w:pos="342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детализация геологического строения </w:t>
            </w:r>
            <w:proofErr w:type="spellStart"/>
            <w:r w:rsidRPr="00FE3357">
              <w:rPr>
                <w:bCs/>
                <w:szCs w:val="24"/>
              </w:rPr>
              <w:t>Ивантеевской</w:t>
            </w:r>
            <w:proofErr w:type="spellEnd"/>
            <w:r w:rsidRPr="00FE3357">
              <w:rPr>
                <w:bCs/>
                <w:szCs w:val="24"/>
              </w:rPr>
              <w:t xml:space="preserve"> структурной зоны в юго-восточной части </w:t>
            </w:r>
            <w:proofErr w:type="spellStart"/>
            <w:r w:rsidRPr="00FE3357">
              <w:rPr>
                <w:bCs/>
                <w:szCs w:val="24"/>
              </w:rPr>
              <w:t>Иргизского</w:t>
            </w:r>
            <w:proofErr w:type="spellEnd"/>
            <w:r w:rsidRPr="00FE3357">
              <w:rPr>
                <w:bCs/>
                <w:szCs w:val="24"/>
              </w:rPr>
              <w:t xml:space="preserve"> участка недр, выявление перспективных на нефть и газ объектов и подготовка их к глубокому бурению;</w:t>
            </w:r>
          </w:p>
          <w:p w:rsidR="004A1612" w:rsidRPr="00FE3357" w:rsidRDefault="004A1612" w:rsidP="004A1612">
            <w:pPr>
              <w:tabs>
                <w:tab w:val="left" w:pos="342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построение структурных карт по целевым отражающим горизонтам в интервале каменноугольных и девонских отложений: </w:t>
            </w:r>
            <w:proofErr w:type="spellStart"/>
            <w:r w:rsidRPr="00FE3357">
              <w:rPr>
                <w:szCs w:val="24"/>
              </w:rPr>
              <w:t>Pz</w:t>
            </w:r>
            <w:proofErr w:type="spellEnd"/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2</w:t>
            </w:r>
            <w:r w:rsidRPr="00FE3357">
              <w:rPr>
                <w:szCs w:val="24"/>
                <w:vertAlign w:val="superscript"/>
                <w:lang w:val="en-US"/>
              </w:rPr>
              <w:t>k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2</w:t>
            </w:r>
            <w:r w:rsidRPr="00FE3357">
              <w:rPr>
                <w:szCs w:val="24"/>
                <w:vertAlign w:val="superscript"/>
              </w:rPr>
              <w:t>mk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</w:rPr>
              <w:t>al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</w:rPr>
              <w:t>bb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C</w:t>
            </w:r>
            <w:r w:rsidRPr="00FE3357">
              <w:rPr>
                <w:szCs w:val="24"/>
                <w:vertAlign w:val="subscript"/>
              </w:rPr>
              <w:t>1</w:t>
            </w:r>
            <w:r w:rsidRPr="00FE3357">
              <w:rPr>
                <w:szCs w:val="24"/>
                <w:vertAlign w:val="superscript"/>
                <w:lang w:val="en-US"/>
              </w:rPr>
              <w:t>up</w:t>
            </w:r>
            <w:r w:rsidRPr="00FE3357">
              <w:rPr>
                <w:szCs w:val="24"/>
              </w:rPr>
              <w:t xml:space="preserve">, </w:t>
            </w:r>
            <w:r w:rsidRPr="00FE3357">
              <w:rPr>
                <w:szCs w:val="24"/>
                <w:lang w:val="en-US"/>
              </w:rPr>
              <w:t>n</w:t>
            </w:r>
            <w:r w:rsidRPr="00FE3357">
              <w:rPr>
                <w:szCs w:val="24"/>
              </w:rPr>
              <w:t>D</w:t>
            </w:r>
            <w:r w:rsidRPr="00FE3357">
              <w:rPr>
                <w:szCs w:val="24"/>
                <w:vertAlign w:val="subscript"/>
              </w:rPr>
              <w:t>3</w:t>
            </w:r>
            <w:r w:rsidRPr="00FE3357">
              <w:rPr>
                <w:szCs w:val="24"/>
                <w:vertAlign w:val="superscript"/>
              </w:rPr>
              <w:t>sr</w:t>
            </w:r>
            <w:r w:rsidRPr="00FE3357">
              <w:rPr>
                <w:szCs w:val="24"/>
              </w:rPr>
              <w:t>, Ф (по возможности)</w:t>
            </w:r>
            <w:r w:rsidRPr="00FE3357">
              <w:rPr>
                <w:bCs/>
                <w:szCs w:val="24"/>
              </w:rPr>
              <w:t>; построение карт толщин между основными отражающими горизонтами;</w:t>
            </w:r>
          </w:p>
          <w:p w:rsidR="004A1612" w:rsidRPr="00FE3357" w:rsidRDefault="004A1612" w:rsidP="004A1612">
            <w:pPr>
              <w:tabs>
                <w:tab w:val="left" w:pos="342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- передача Заказчику полевых материалов, результатов их обработки и интерпретации;</w:t>
            </w:r>
          </w:p>
          <w:p w:rsidR="00236500" w:rsidRPr="004A1612" w:rsidRDefault="004A1612" w:rsidP="004A1612">
            <w:pPr>
              <w:tabs>
                <w:tab w:val="left" w:pos="342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подготовка и передача Заказчику отчёта о результатах работ, оформленного в соответствии с требованиями ГОСТ </w:t>
            </w:r>
            <w:proofErr w:type="gramStart"/>
            <w:r w:rsidRPr="00FE3357">
              <w:rPr>
                <w:bCs/>
                <w:szCs w:val="24"/>
              </w:rPr>
              <w:t>Р</w:t>
            </w:r>
            <w:proofErr w:type="gramEnd"/>
            <w:r w:rsidRPr="00FE3357">
              <w:rPr>
                <w:bCs/>
                <w:szCs w:val="24"/>
              </w:rPr>
              <w:t xml:space="preserve"> 53579-2009 и отраслевыми нормами РФ на бумажном носителе и в электронном виде.</w:t>
            </w:r>
          </w:p>
        </w:tc>
      </w:tr>
      <w:tr w:rsidR="00236500" w:rsidRPr="00236500" w:rsidTr="004A1612">
        <w:tc>
          <w:tcPr>
            <w:tcW w:w="2235" w:type="dxa"/>
            <w:shd w:val="clear" w:color="auto" w:fill="auto"/>
          </w:tcPr>
          <w:p w:rsidR="00236500" w:rsidRPr="004A1612" w:rsidRDefault="004A161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t>Передаваемая отчетная информация и материалы</w:t>
            </w:r>
          </w:p>
        </w:tc>
        <w:tc>
          <w:tcPr>
            <w:tcW w:w="7484" w:type="dxa"/>
            <w:shd w:val="clear" w:color="auto" w:fill="auto"/>
          </w:tcPr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полевые сейсмические данные на электронных носителях (результаты производственных работ МОГТ-3Д и </w:t>
            </w:r>
            <w:proofErr w:type="gramStart"/>
            <w:r w:rsidRPr="00FE3357">
              <w:rPr>
                <w:bCs/>
                <w:szCs w:val="24"/>
              </w:rPr>
              <w:t>МСК</w:t>
            </w:r>
            <w:proofErr w:type="gramEnd"/>
            <w:r w:rsidRPr="00FE3357">
              <w:rPr>
                <w:bCs/>
                <w:szCs w:val="24"/>
              </w:rPr>
              <w:t xml:space="preserve">) в формате </w:t>
            </w:r>
            <w:r w:rsidRPr="00FE3357">
              <w:rPr>
                <w:bCs/>
                <w:szCs w:val="24"/>
                <w:lang w:val="en-US"/>
              </w:rPr>
              <w:t>SEGD</w:t>
            </w:r>
            <w:r w:rsidRPr="00FE3357">
              <w:rPr>
                <w:szCs w:val="24"/>
              </w:rPr>
              <w:t>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схемы расположения проектных и вынесенных в натуру линий возбуждения и </w:t>
            </w:r>
            <w:r w:rsidRPr="00FE3357">
              <w:rPr>
                <w:bCs/>
                <w:szCs w:val="24"/>
              </w:rPr>
              <w:lastRenderedPageBreak/>
              <w:t>приёма колебаний.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- рапорты операторов сейсмостанции в электронном и бумажном видах</w:t>
            </w:r>
            <w:r w:rsidRPr="00FE3357">
              <w:rPr>
                <w:szCs w:val="24"/>
              </w:rPr>
              <w:t xml:space="preserve"> с указанием природных и техногенных факторов, влияющих на качество получаемых материалов, а также с описанием всех отклонений от проектной технологии наблюдений.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</w:t>
            </w:r>
            <w:r w:rsidRPr="00FE3357">
              <w:rPr>
                <w:szCs w:val="24"/>
              </w:rPr>
              <w:t xml:space="preserve">ежедневные тесты сейсмостанций и </w:t>
            </w:r>
            <w:proofErr w:type="spellStart"/>
            <w:r w:rsidRPr="00FE3357">
              <w:rPr>
                <w:szCs w:val="24"/>
              </w:rPr>
              <w:t>виброисточников</w:t>
            </w:r>
            <w:proofErr w:type="spellEnd"/>
            <w:r w:rsidRPr="00FE3357">
              <w:rPr>
                <w:szCs w:val="24"/>
              </w:rPr>
              <w:t xml:space="preserve"> на магнитном носителе.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- акты предварительной приёмки полевого материала.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- акт окончательной приёмки топогеодезических материалов комиссией Подрядчика с участием представителя Заказчика.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- топогеодезические материалы: каталог координат и ведомость высот ПВ и ПП, таблица пересечений ЛВ и ЛП, абрисы по ЛВ и ЛП.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>- каталог полных координат всех имеющихся на площади скважин.</w:t>
            </w:r>
          </w:p>
          <w:p w:rsidR="004A1612" w:rsidRPr="00FE3357" w:rsidRDefault="004A1612" w:rsidP="004A1612">
            <w:pPr>
              <w:tabs>
                <w:tab w:val="num" w:pos="919"/>
                <w:tab w:val="num" w:pos="993"/>
              </w:tabs>
              <w:ind w:right="176"/>
              <w:jc w:val="both"/>
              <w:rPr>
                <w:bCs/>
                <w:szCs w:val="24"/>
              </w:rPr>
            </w:pPr>
            <w:r w:rsidRPr="00FE3357">
              <w:rPr>
                <w:bCs/>
                <w:szCs w:val="24"/>
              </w:rPr>
              <w:t xml:space="preserve">- итоговые </w:t>
            </w:r>
            <w:r w:rsidRPr="00FE3357">
              <w:rPr>
                <w:bCs/>
                <w:szCs w:val="24"/>
                <w:lang w:val="en-US"/>
              </w:rPr>
              <w:t>SPS</w:t>
            </w:r>
            <w:r w:rsidRPr="00FE3357">
              <w:rPr>
                <w:bCs/>
                <w:szCs w:val="24"/>
              </w:rPr>
              <w:t>-файлы (</w:t>
            </w:r>
            <w:r w:rsidRPr="00FE3357">
              <w:rPr>
                <w:bCs/>
                <w:szCs w:val="24"/>
                <w:lang w:val="en-US"/>
              </w:rPr>
              <w:t>R</w:t>
            </w:r>
            <w:r w:rsidRPr="00FE3357">
              <w:rPr>
                <w:bCs/>
                <w:szCs w:val="24"/>
              </w:rPr>
              <w:t xml:space="preserve">, </w:t>
            </w:r>
            <w:r w:rsidRPr="00FE3357">
              <w:rPr>
                <w:bCs/>
                <w:szCs w:val="24"/>
                <w:lang w:val="en-US"/>
              </w:rPr>
              <w:t>S</w:t>
            </w:r>
            <w:r w:rsidRPr="00FE3357">
              <w:rPr>
                <w:bCs/>
                <w:szCs w:val="24"/>
              </w:rPr>
              <w:t xml:space="preserve">, </w:t>
            </w:r>
            <w:r w:rsidRPr="00FE3357">
              <w:rPr>
                <w:bCs/>
                <w:szCs w:val="24"/>
                <w:lang w:val="en-US"/>
              </w:rPr>
              <w:t>X</w:t>
            </w:r>
            <w:r w:rsidRPr="00FE3357">
              <w:rPr>
                <w:bCs/>
                <w:szCs w:val="24"/>
              </w:rPr>
              <w:t>) с координатами пунктов возбуждения и приёма.</w:t>
            </w:r>
          </w:p>
          <w:p w:rsidR="004A1612" w:rsidRPr="00FE3357" w:rsidRDefault="004A1612" w:rsidP="004A1612">
            <w:pPr>
              <w:tabs>
                <w:tab w:val="num" w:pos="709"/>
                <w:tab w:val="num" w:pos="919"/>
                <w:tab w:val="num" w:pos="993"/>
              </w:tabs>
              <w:ind w:right="176"/>
              <w:jc w:val="both"/>
              <w:rPr>
                <w:b/>
                <w:szCs w:val="24"/>
              </w:rPr>
            </w:pPr>
            <w:r w:rsidRPr="00FE3357">
              <w:rPr>
                <w:bCs/>
                <w:szCs w:val="24"/>
              </w:rPr>
              <w:t xml:space="preserve">- </w:t>
            </w:r>
            <w:r w:rsidRPr="00FE3357">
              <w:rPr>
                <w:szCs w:val="24"/>
              </w:rPr>
              <w:t xml:space="preserve">информационный отчет о полевых (производственных) работах с указанием важных особенностей выполненных исследований, отклонений от проектной системы наблюдений, порядка отработки и проектного стандарта </w:t>
            </w:r>
            <w:proofErr w:type="spellStart"/>
            <w:r w:rsidRPr="00FE3357">
              <w:rPr>
                <w:szCs w:val="24"/>
              </w:rPr>
              <w:t>сейсмозаписей</w:t>
            </w:r>
            <w:proofErr w:type="spellEnd"/>
            <w:r w:rsidRPr="00FE3357">
              <w:rPr>
                <w:szCs w:val="24"/>
              </w:rPr>
              <w:t>, с указанием причин этих отклонений.</w:t>
            </w:r>
          </w:p>
          <w:p w:rsidR="004A1612" w:rsidRDefault="004A1612" w:rsidP="004A1612">
            <w:pPr>
              <w:tabs>
                <w:tab w:val="num" w:pos="919"/>
              </w:tabs>
              <w:ind w:right="176"/>
              <w:jc w:val="both"/>
              <w:rPr>
                <w:snapToGrid w:val="0"/>
                <w:szCs w:val="24"/>
              </w:rPr>
            </w:pPr>
            <w:r w:rsidRPr="00FE3357">
              <w:rPr>
                <w:bCs/>
                <w:szCs w:val="24"/>
              </w:rPr>
              <w:t xml:space="preserve">- </w:t>
            </w:r>
            <w:r w:rsidRPr="00FE3357">
              <w:rPr>
                <w:snapToGrid w:val="0"/>
                <w:szCs w:val="24"/>
              </w:rPr>
              <w:t>куб сейсмической информации в цифровом виде.</w:t>
            </w:r>
          </w:p>
          <w:p w:rsidR="004A1612" w:rsidRPr="00754053" w:rsidRDefault="004A1612" w:rsidP="004A1612">
            <w:pPr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- ф</w:t>
            </w:r>
            <w:r w:rsidRPr="00754053">
              <w:rPr>
                <w:szCs w:val="24"/>
              </w:rPr>
              <w:t>айлы статических поправок (расчетные и финальные).</w:t>
            </w:r>
          </w:p>
          <w:p w:rsidR="004A1612" w:rsidRPr="00754053" w:rsidRDefault="004A1612" w:rsidP="004A1612">
            <w:pPr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Pr="00754053">
              <w:rPr>
                <w:szCs w:val="24"/>
              </w:rPr>
              <w:t>труктурные карты по основным отражающим горизонтам.</w:t>
            </w:r>
          </w:p>
          <w:p w:rsidR="00236500" w:rsidRPr="004A1612" w:rsidRDefault="004A1612" w:rsidP="004A1612">
            <w:pPr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- о</w:t>
            </w:r>
            <w:r w:rsidRPr="00754053">
              <w:rPr>
                <w:szCs w:val="24"/>
              </w:rPr>
              <w:t xml:space="preserve">кончательный геологический отчет о результатах сейсморазведочных работ МОГТ-3Д с необходимыми текстовыми и графическими приложениями согласно требованиям ГОСТ </w:t>
            </w:r>
            <w:proofErr w:type="gramStart"/>
            <w:r w:rsidRPr="00754053">
              <w:rPr>
                <w:szCs w:val="24"/>
              </w:rPr>
              <w:t>Р</w:t>
            </w:r>
            <w:proofErr w:type="gramEnd"/>
            <w:r w:rsidRPr="00754053">
              <w:rPr>
                <w:szCs w:val="24"/>
              </w:rPr>
              <w:t xml:space="preserve"> 53579-2009.</w:t>
            </w:r>
          </w:p>
        </w:tc>
      </w:tr>
      <w:tr w:rsidR="004A1612" w:rsidRPr="00236500" w:rsidTr="004A1612">
        <w:tc>
          <w:tcPr>
            <w:tcW w:w="2235" w:type="dxa"/>
            <w:shd w:val="clear" w:color="auto" w:fill="auto"/>
          </w:tcPr>
          <w:p w:rsidR="004A1612" w:rsidRPr="004A1612" w:rsidRDefault="004A161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lastRenderedPageBreak/>
              <w:t>Порядок приемки отчетных материалов</w:t>
            </w:r>
          </w:p>
        </w:tc>
        <w:tc>
          <w:tcPr>
            <w:tcW w:w="7484" w:type="dxa"/>
            <w:shd w:val="clear" w:color="auto" w:fill="auto"/>
          </w:tcPr>
          <w:p w:rsidR="004A1612" w:rsidRPr="004A1612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Рецензирование отчёта, защита отчёта на ГТС ООО «</w:t>
            </w:r>
            <w:proofErr w:type="spellStart"/>
            <w:r w:rsidRPr="00754053">
              <w:rPr>
                <w:szCs w:val="24"/>
              </w:rPr>
              <w:t>ЮКОЛА-нефть</w:t>
            </w:r>
            <w:proofErr w:type="spellEnd"/>
            <w:r w:rsidRPr="00754053">
              <w:rPr>
                <w:szCs w:val="24"/>
              </w:rPr>
              <w:t>», утверждение и приёмка отчёта ООО «</w:t>
            </w:r>
            <w:proofErr w:type="spellStart"/>
            <w:r w:rsidRPr="00754053">
              <w:rPr>
                <w:szCs w:val="24"/>
              </w:rPr>
              <w:t>ЮКОЛА-нефть</w:t>
            </w:r>
            <w:proofErr w:type="spellEnd"/>
            <w:r w:rsidRPr="00754053">
              <w:rPr>
                <w:szCs w:val="24"/>
              </w:rPr>
              <w:t>».</w:t>
            </w:r>
          </w:p>
        </w:tc>
      </w:tr>
      <w:tr w:rsidR="004A1612" w:rsidRPr="00236500" w:rsidTr="004A1612">
        <w:tc>
          <w:tcPr>
            <w:tcW w:w="2235" w:type="dxa"/>
            <w:shd w:val="clear" w:color="auto" w:fill="auto"/>
          </w:tcPr>
          <w:p w:rsidR="004A1612" w:rsidRPr="004A1612" w:rsidRDefault="004A1612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  <w:r w:rsidRPr="004A1612">
              <w:rPr>
                <w:szCs w:val="24"/>
              </w:rPr>
              <w:t>Рассылка (тиражирование) отчетных материалов</w:t>
            </w:r>
          </w:p>
        </w:tc>
        <w:tc>
          <w:tcPr>
            <w:tcW w:w="7484" w:type="dxa"/>
            <w:shd w:val="clear" w:color="auto" w:fill="auto"/>
          </w:tcPr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Отчетные материалы оформляются на бумажном и электронном носителе в соответствии с нормативными документами и передаются: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- 1 экз. - ФГБУ «</w:t>
            </w:r>
            <w:proofErr w:type="spellStart"/>
            <w:r w:rsidRPr="00754053">
              <w:rPr>
                <w:szCs w:val="24"/>
              </w:rPr>
              <w:t>Росгеолфонд</w:t>
            </w:r>
            <w:proofErr w:type="spellEnd"/>
            <w:r w:rsidRPr="00754053">
              <w:rPr>
                <w:szCs w:val="24"/>
              </w:rPr>
              <w:t>»;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54053">
              <w:rPr>
                <w:szCs w:val="24"/>
              </w:rPr>
              <w:t>2 экз. - Саратовский филиал ФБУ «ТФГИ по Приволжскому федеральному округу»;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-</w:t>
            </w:r>
            <w:r>
              <w:rPr>
                <w:szCs w:val="24"/>
              </w:rPr>
              <w:t xml:space="preserve"> 3 и 4 экз. – ООО «</w:t>
            </w:r>
            <w:proofErr w:type="spellStart"/>
            <w:r>
              <w:rPr>
                <w:szCs w:val="24"/>
              </w:rPr>
              <w:t>ЮКОЛА-нефть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0F22E3" w:rsidRPr="00236500" w:rsidTr="004A1612">
        <w:tc>
          <w:tcPr>
            <w:tcW w:w="2235" w:type="dxa"/>
            <w:vMerge w:val="restart"/>
            <w:shd w:val="clear" w:color="auto" w:fill="auto"/>
          </w:tcPr>
          <w:p w:rsidR="000F22E3" w:rsidRPr="004A1612" w:rsidRDefault="000F22E3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Дополнительная информация</w:t>
            </w:r>
          </w:p>
        </w:tc>
        <w:tc>
          <w:tcPr>
            <w:tcW w:w="7484" w:type="dxa"/>
            <w:shd w:val="clear" w:color="auto" w:fill="auto"/>
          </w:tcPr>
          <w:p w:rsidR="000F22E3" w:rsidRPr="00754053" w:rsidRDefault="000F22E3" w:rsidP="00D87714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Обязательно предоставить </w:t>
            </w:r>
            <w:proofErr w:type="spellStart"/>
            <w:r>
              <w:rPr>
                <w:szCs w:val="24"/>
              </w:rPr>
              <w:t>референс</w:t>
            </w:r>
            <w:proofErr w:type="spellEnd"/>
            <w:r>
              <w:rPr>
                <w:szCs w:val="24"/>
              </w:rPr>
              <w:t xml:space="preserve">-лист, при наличии отзывы Заказчиков. </w:t>
            </w:r>
          </w:p>
        </w:tc>
      </w:tr>
      <w:tr w:rsidR="000F22E3" w:rsidRPr="00236500" w:rsidTr="004A1612">
        <w:tc>
          <w:tcPr>
            <w:tcW w:w="2235" w:type="dxa"/>
            <w:vMerge/>
            <w:shd w:val="clear" w:color="auto" w:fill="auto"/>
          </w:tcPr>
          <w:p w:rsidR="000F22E3" w:rsidRPr="004A1612" w:rsidRDefault="000F22E3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0F22E3" w:rsidRDefault="000F22E3" w:rsidP="00D87714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При невозможности проведения работ в указанные сроки, предоставить информацию о возможных сроках проведения работ.</w:t>
            </w:r>
          </w:p>
        </w:tc>
      </w:tr>
      <w:tr w:rsidR="000F22E3" w:rsidRPr="00236500" w:rsidTr="004A1612">
        <w:tc>
          <w:tcPr>
            <w:tcW w:w="2235" w:type="dxa"/>
            <w:vMerge/>
            <w:shd w:val="clear" w:color="auto" w:fill="auto"/>
          </w:tcPr>
          <w:p w:rsidR="000F22E3" w:rsidRPr="004A1612" w:rsidRDefault="000F22E3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0F22E3" w:rsidRDefault="000F22E3" w:rsidP="00D87714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Предоставить информацию</w:t>
            </w:r>
            <w:r w:rsidR="0036620E">
              <w:rPr>
                <w:szCs w:val="24"/>
              </w:rPr>
              <w:t xml:space="preserve"> </w:t>
            </w:r>
            <w:r w:rsidR="00914E2E">
              <w:rPr>
                <w:szCs w:val="24"/>
              </w:rPr>
              <w:t xml:space="preserve"> по оснащению специализированной техникой, </w:t>
            </w:r>
            <w:r w:rsidR="005761CC">
              <w:rPr>
                <w:szCs w:val="24"/>
              </w:rPr>
              <w:t>полевым оборудованием, программным обеспечением, квалифицированным персоналом, необходимым для проведения указанного вида работ.</w:t>
            </w:r>
            <w:r w:rsidR="00367BAF">
              <w:rPr>
                <w:szCs w:val="24"/>
              </w:rPr>
              <w:t xml:space="preserve"> </w:t>
            </w:r>
          </w:p>
        </w:tc>
      </w:tr>
      <w:tr w:rsidR="000F22E3" w:rsidRPr="00CD43A6" w:rsidTr="004A1612">
        <w:tc>
          <w:tcPr>
            <w:tcW w:w="2235" w:type="dxa"/>
            <w:vMerge/>
            <w:shd w:val="clear" w:color="auto" w:fill="auto"/>
          </w:tcPr>
          <w:p w:rsidR="000F22E3" w:rsidRPr="004A1612" w:rsidRDefault="000F22E3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0F22E3" w:rsidRPr="00EB1117" w:rsidRDefault="000F22E3" w:rsidP="00D87714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В предложении указать стоимость 1 км</w:t>
            </w:r>
            <w:proofErr w:type="gramStart"/>
            <w:r>
              <w:rPr>
                <w:szCs w:val="24"/>
                <w:vertAlign w:val="superscript"/>
              </w:rPr>
              <w:t>2</w:t>
            </w:r>
            <w:proofErr w:type="gramEnd"/>
            <w:r>
              <w:rPr>
                <w:szCs w:val="24"/>
              </w:rPr>
              <w:t xml:space="preserve">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 xml:space="preserve">. включая затраты на мобилизацию и демобилизацию партии. </w:t>
            </w:r>
          </w:p>
        </w:tc>
      </w:tr>
      <w:bookmarkEnd w:id="0"/>
    </w:tbl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4A1612">
      <w:pPr>
        <w:widowControl/>
        <w:shd w:val="clear" w:color="auto" w:fill="FFFFFF"/>
        <w:jc w:val="right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Pr="00996576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996576" w:rsidRPr="00325075" w:rsidRDefault="00996576" w:rsidP="003D6130">
      <w:pPr>
        <w:jc w:val="center"/>
        <w:rPr>
          <w:b/>
          <w:sz w:val="26"/>
          <w:szCs w:val="26"/>
        </w:rPr>
      </w:pPr>
    </w:p>
    <w:p w:rsidR="003D6130" w:rsidRDefault="003D613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236500" w:rsidRDefault="0023650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236500" w:rsidRDefault="0023650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567659" w:rsidRDefault="00567659"/>
    <w:sectPr w:rsidR="00567659" w:rsidSect="00C7347C">
      <w:footerReference w:type="even" r:id="rId8"/>
      <w:footerReference w:type="default" r:id="rId9"/>
      <w:pgSz w:w="11906" w:h="16838"/>
      <w:pgMar w:top="567" w:right="851" w:bottom="851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AF" w:rsidRDefault="00367BAF" w:rsidP="003D6130">
      <w:r>
        <w:separator/>
      </w:r>
    </w:p>
  </w:endnote>
  <w:endnote w:type="continuationSeparator" w:id="0">
    <w:p w:rsidR="00367BAF" w:rsidRDefault="00367BAF" w:rsidP="003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AF" w:rsidRDefault="00367BAF" w:rsidP="00C734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7BAF" w:rsidRDefault="00367BAF" w:rsidP="00C734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AF" w:rsidRDefault="00367BAF" w:rsidP="00C734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AF" w:rsidRDefault="00367BAF" w:rsidP="003D6130">
      <w:r>
        <w:separator/>
      </w:r>
    </w:p>
  </w:footnote>
  <w:footnote w:type="continuationSeparator" w:id="0">
    <w:p w:rsidR="00367BAF" w:rsidRDefault="00367BAF" w:rsidP="003D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94"/>
    <w:multiLevelType w:val="multilevel"/>
    <w:tmpl w:val="353228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93F1F68"/>
    <w:multiLevelType w:val="hybridMultilevel"/>
    <w:tmpl w:val="17A4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6776"/>
    <w:multiLevelType w:val="multilevel"/>
    <w:tmpl w:val="F388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0" w:hanging="1800"/>
      </w:pPr>
      <w:rPr>
        <w:rFonts w:hint="default"/>
      </w:rPr>
    </w:lvl>
  </w:abstractNum>
  <w:abstractNum w:abstractNumId="3">
    <w:nsid w:val="4F9A093F"/>
    <w:multiLevelType w:val="multilevel"/>
    <w:tmpl w:val="CFF45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467650B"/>
    <w:multiLevelType w:val="hybridMultilevel"/>
    <w:tmpl w:val="143A4260"/>
    <w:lvl w:ilvl="0" w:tplc="42228230">
      <w:start w:val="1"/>
      <w:numFmt w:val="decimal"/>
      <w:lvlText w:val="%1."/>
      <w:lvlJc w:val="left"/>
      <w:pPr>
        <w:ind w:left="720" w:hanging="360"/>
      </w:pPr>
      <w:rPr>
        <w:rFonts w:eastAsia="SimSu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021D5"/>
    <w:multiLevelType w:val="hybridMultilevel"/>
    <w:tmpl w:val="F38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683F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DD"/>
    <w:rsid w:val="00090C6A"/>
    <w:rsid w:val="000A5078"/>
    <w:rsid w:val="000F22E3"/>
    <w:rsid w:val="001269CA"/>
    <w:rsid w:val="00194EA8"/>
    <w:rsid w:val="00236500"/>
    <w:rsid w:val="0024674F"/>
    <w:rsid w:val="0025642B"/>
    <w:rsid w:val="0029272E"/>
    <w:rsid w:val="002A6D7C"/>
    <w:rsid w:val="0036620E"/>
    <w:rsid w:val="00367BAF"/>
    <w:rsid w:val="003D6130"/>
    <w:rsid w:val="00440461"/>
    <w:rsid w:val="004907DD"/>
    <w:rsid w:val="004A1612"/>
    <w:rsid w:val="004A78DB"/>
    <w:rsid w:val="004C109A"/>
    <w:rsid w:val="004D465D"/>
    <w:rsid w:val="004D7224"/>
    <w:rsid w:val="00567659"/>
    <w:rsid w:val="005761CC"/>
    <w:rsid w:val="00801636"/>
    <w:rsid w:val="0085186D"/>
    <w:rsid w:val="008857E2"/>
    <w:rsid w:val="00896829"/>
    <w:rsid w:val="00914E2E"/>
    <w:rsid w:val="00995C1E"/>
    <w:rsid w:val="00996576"/>
    <w:rsid w:val="009F163B"/>
    <w:rsid w:val="00B059AC"/>
    <w:rsid w:val="00B405F2"/>
    <w:rsid w:val="00C7347C"/>
    <w:rsid w:val="00CD43A6"/>
    <w:rsid w:val="00D87714"/>
    <w:rsid w:val="00DA5932"/>
    <w:rsid w:val="00DD3786"/>
    <w:rsid w:val="00EB5BBC"/>
    <w:rsid w:val="00F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6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А.С.</dc:creator>
  <cp:keywords/>
  <dc:description/>
  <cp:lastModifiedBy>Shibalina</cp:lastModifiedBy>
  <cp:revision>20</cp:revision>
  <cp:lastPrinted>2024-03-15T07:16:00Z</cp:lastPrinted>
  <dcterms:created xsi:type="dcterms:W3CDTF">2015-09-09T12:52:00Z</dcterms:created>
  <dcterms:modified xsi:type="dcterms:W3CDTF">2024-03-15T10:40:00Z</dcterms:modified>
</cp:coreProperties>
</file>